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FCB2" w14:textId="33D426A7" w:rsidR="003A5C08" w:rsidRDefault="003A5C08" w:rsidP="003A5C08">
      <w:pPr>
        <w:pStyle w:val="mainTitle"/>
        <w:spacing w:after="240"/>
      </w:pPr>
      <w:bookmarkStart w:id="0" w:name="_Hlk535313969"/>
      <w:r>
        <w:t>TERMS OF ENGAGEMENT</w:t>
      </w:r>
    </w:p>
    <w:p w14:paraId="48EA1A25" w14:textId="77777777" w:rsidR="003A5C08" w:rsidRDefault="003A5C08" w:rsidP="003A5C08">
      <w:pPr>
        <w:pStyle w:val="Heading1"/>
      </w:pPr>
      <w:r>
        <w:t>General template</w:t>
      </w:r>
    </w:p>
    <w:p w14:paraId="57F9E358" w14:textId="42CE9D99" w:rsidR="003A5C08" w:rsidRDefault="003A5C08" w:rsidP="003A5C08">
      <w:pPr>
        <w:pStyle w:val="Heading2"/>
        <w:rPr>
          <w:sz w:val="22"/>
          <w:szCs w:val="22"/>
        </w:rPr>
      </w:pPr>
      <w:bookmarkStart w:id="1" w:name="_Hlk83992007"/>
      <w:r>
        <w:rPr>
          <w:sz w:val="22"/>
          <w:szCs w:val="22"/>
        </w:rPr>
        <w:t xml:space="preserve">CPA Australia has created this </w:t>
      </w:r>
      <w:r>
        <w:rPr>
          <w:sz w:val="22"/>
          <w:szCs w:val="22"/>
        </w:rPr>
        <w:t xml:space="preserve">checklist for the allocation of professional firm profits in response to PCG 2021/4 </w:t>
      </w:r>
      <w:r>
        <w:rPr>
          <w:sz w:val="22"/>
          <w:szCs w:val="22"/>
        </w:rPr>
        <w:t xml:space="preserve">that you can use </w:t>
      </w:r>
      <w:r>
        <w:rPr>
          <w:sz w:val="22"/>
          <w:szCs w:val="22"/>
        </w:rPr>
        <w:t>for you and your clients</w:t>
      </w:r>
      <w:r>
        <w:rPr>
          <w:sz w:val="22"/>
          <w:szCs w:val="22"/>
        </w:rPr>
        <w:t>.</w:t>
      </w:r>
    </w:p>
    <w:p w14:paraId="28938202" w14:textId="77777777" w:rsidR="003A5C08" w:rsidRDefault="003A5C08" w:rsidP="003A5C08"/>
    <w:p w14:paraId="3DEF54CD" w14:textId="77777777" w:rsidR="003A5C08" w:rsidRDefault="003A5C08" w:rsidP="003A5C08">
      <w:pPr>
        <w:pStyle w:val="Heading2"/>
        <w:rPr>
          <w:sz w:val="22"/>
          <w:szCs w:val="22"/>
        </w:rPr>
      </w:pPr>
      <w:r>
        <w:rPr>
          <w:sz w:val="22"/>
          <w:szCs w:val="22"/>
        </w:rPr>
        <w:t>The following version control information has been included to assist you monitor changes to the template to ensure you are using the latest version.</w:t>
      </w:r>
    </w:p>
    <w:p w14:paraId="219520A7" w14:textId="77777777" w:rsidR="003A5C08" w:rsidRPr="00822AB7" w:rsidRDefault="003A5C08" w:rsidP="003A5C08">
      <w:pPr>
        <w:pStyle w:val="BodyIndent1"/>
      </w:pPr>
    </w:p>
    <w:tbl>
      <w:tblPr>
        <w:tblW w:w="0" w:type="auto"/>
        <w:tblInd w:w="108" w:type="dxa"/>
        <w:tblCellMar>
          <w:left w:w="0" w:type="dxa"/>
          <w:right w:w="0" w:type="dxa"/>
        </w:tblCellMar>
        <w:tblLook w:val="04A0" w:firstRow="1" w:lastRow="0" w:firstColumn="1" w:lastColumn="0" w:noHBand="0" w:noVBand="1"/>
      </w:tblPr>
      <w:tblGrid>
        <w:gridCol w:w="1272"/>
        <w:gridCol w:w="603"/>
        <w:gridCol w:w="4233"/>
        <w:gridCol w:w="1295"/>
        <w:gridCol w:w="591"/>
        <w:gridCol w:w="904"/>
      </w:tblGrid>
      <w:tr w:rsidR="003A5C08" w14:paraId="608DB7EA" w14:textId="77777777" w:rsidTr="0076425B">
        <w:tc>
          <w:tcPr>
            <w:tcW w:w="1995" w:type="dxa"/>
            <w:gridSpan w:val="2"/>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bookmarkEnd w:id="1"/>
          <w:p w14:paraId="71127AE2" w14:textId="77777777" w:rsidR="003A5C08" w:rsidRDefault="003A5C08" w:rsidP="0076425B">
            <w:pPr>
              <w:contextualSpacing/>
              <w:rPr>
                <w:rFonts w:cs="Arial"/>
                <w:b/>
                <w:bCs/>
                <w:color w:val="FFFFFF" w:themeColor="background1"/>
                <w:sz w:val="22"/>
                <w:szCs w:val="22"/>
                <w:lang w:eastAsia="en-AU"/>
              </w:rPr>
            </w:pPr>
            <w:r>
              <w:rPr>
                <w:rFonts w:cs="Arial"/>
                <w:b/>
                <w:bCs/>
                <w:color w:val="FFFFFF" w:themeColor="background1"/>
                <w:sz w:val="22"/>
                <w:szCs w:val="22"/>
                <w:lang w:eastAsia="en-AU"/>
              </w:rPr>
              <w:t>Document Title</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13698" w14:textId="77777777" w:rsidR="003A5C08" w:rsidRDefault="003A5C08" w:rsidP="0076425B">
            <w:pPr>
              <w:contextualSpacing/>
              <w:rPr>
                <w:rFonts w:cs="Arial"/>
                <w:sz w:val="22"/>
                <w:szCs w:val="22"/>
                <w:lang w:eastAsia="en-AU"/>
              </w:rPr>
            </w:pPr>
            <w:r>
              <w:rPr>
                <w:rFonts w:cs="Arial"/>
                <w:sz w:val="22"/>
                <w:szCs w:val="22"/>
                <w:lang w:eastAsia="en-AU"/>
              </w:rPr>
              <w:t>Covid-19 Mandatory Vaccination Policy Template</w:t>
            </w:r>
          </w:p>
        </w:tc>
        <w:tc>
          <w:tcPr>
            <w:tcW w:w="198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hideMark/>
          </w:tcPr>
          <w:p w14:paraId="62986738" w14:textId="77777777" w:rsidR="003A5C08" w:rsidRDefault="003A5C08" w:rsidP="0076425B">
            <w:pPr>
              <w:contextualSpacing/>
              <w:rPr>
                <w:rFonts w:cs="Arial"/>
                <w:sz w:val="22"/>
                <w:szCs w:val="22"/>
                <w:lang w:eastAsia="en-AU"/>
              </w:rPr>
            </w:pPr>
            <w:r>
              <w:rPr>
                <w:rFonts w:cs="Arial"/>
                <w:b/>
                <w:bCs/>
                <w:color w:val="FFFFFF" w:themeColor="background1"/>
                <w:sz w:val="22"/>
                <w:szCs w:val="22"/>
                <w:lang w:eastAsia="en-AU"/>
              </w:rPr>
              <w:t>Version #</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CAEE1" w14:textId="77777777" w:rsidR="003A5C08" w:rsidRDefault="003A5C08" w:rsidP="0076425B">
            <w:pPr>
              <w:contextualSpacing/>
              <w:rPr>
                <w:sz w:val="22"/>
                <w:szCs w:val="22"/>
                <w:lang w:eastAsia="en-AU"/>
              </w:rPr>
            </w:pPr>
            <w:r>
              <w:rPr>
                <w:sz w:val="22"/>
                <w:szCs w:val="22"/>
                <w:lang w:eastAsia="en-AU"/>
              </w:rPr>
              <w:t>1</w:t>
            </w:r>
          </w:p>
        </w:tc>
      </w:tr>
      <w:tr w:rsidR="003A5C08" w14:paraId="3A8C471D" w14:textId="77777777" w:rsidTr="0076425B">
        <w:tc>
          <w:tcPr>
            <w:tcW w:w="1995" w:type="dxa"/>
            <w:gridSpan w:val="2"/>
            <w:tcBorders>
              <w:top w:val="nil"/>
              <w:left w:val="single" w:sz="8" w:space="0" w:color="auto"/>
              <w:bottom w:val="single" w:sz="8" w:space="0" w:color="auto"/>
              <w:right w:val="single" w:sz="8" w:space="0" w:color="auto"/>
            </w:tcBorders>
            <w:shd w:val="clear" w:color="auto" w:fill="00234B"/>
            <w:tcMar>
              <w:top w:w="0" w:type="dxa"/>
              <w:left w:w="108" w:type="dxa"/>
              <w:bottom w:w="0" w:type="dxa"/>
              <w:right w:w="108" w:type="dxa"/>
            </w:tcMar>
            <w:hideMark/>
          </w:tcPr>
          <w:p w14:paraId="37D58578" w14:textId="77777777" w:rsidR="003A5C08" w:rsidRDefault="003A5C08" w:rsidP="0076425B">
            <w:pPr>
              <w:contextualSpacing/>
              <w:rPr>
                <w:rFonts w:cs="Arial"/>
                <w:b/>
                <w:bCs/>
                <w:color w:val="FFFFFF" w:themeColor="background1"/>
                <w:sz w:val="22"/>
                <w:szCs w:val="22"/>
                <w:lang w:eastAsia="en-AU"/>
              </w:rPr>
            </w:pPr>
            <w:r>
              <w:rPr>
                <w:rFonts w:cs="Arial"/>
                <w:b/>
                <w:bCs/>
                <w:color w:val="FFFFFF" w:themeColor="background1"/>
                <w:sz w:val="22"/>
                <w:szCs w:val="22"/>
                <w:lang w:eastAsia="en-AU"/>
              </w:rPr>
              <w:t>Effective Date</w:t>
            </w:r>
          </w:p>
        </w:tc>
        <w:tc>
          <w:tcPr>
            <w:tcW w:w="775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156E10EE" w14:textId="77777777" w:rsidR="003A5C08" w:rsidRDefault="003A5C08" w:rsidP="0076425B">
            <w:pPr>
              <w:contextualSpacing/>
              <w:rPr>
                <w:rFonts w:cs="Arial"/>
                <w:sz w:val="22"/>
                <w:szCs w:val="22"/>
                <w:lang w:eastAsia="en-AU"/>
              </w:rPr>
            </w:pPr>
            <w:r>
              <w:rPr>
                <w:rFonts w:cs="Arial"/>
                <w:sz w:val="22"/>
                <w:szCs w:val="22"/>
                <w:lang w:eastAsia="en-AU"/>
              </w:rPr>
              <w:t>November 2021</w:t>
            </w:r>
          </w:p>
        </w:tc>
      </w:tr>
      <w:tr w:rsidR="003A5C08" w14:paraId="3C5C0B9E" w14:textId="77777777" w:rsidTr="0076425B">
        <w:tc>
          <w:tcPr>
            <w:tcW w:w="1276" w:type="dxa"/>
            <w:tcBorders>
              <w:top w:val="single" w:sz="8" w:space="0" w:color="auto"/>
              <w:left w:val="single" w:sz="8" w:space="0" w:color="auto"/>
              <w:bottom w:val="single" w:sz="8" w:space="0" w:color="auto"/>
              <w:right w:val="single" w:sz="8" w:space="0" w:color="auto"/>
            </w:tcBorders>
            <w:shd w:val="clear" w:color="auto" w:fill="00234B"/>
            <w:tcMar>
              <w:top w:w="0" w:type="dxa"/>
              <w:left w:w="108" w:type="dxa"/>
              <w:bottom w:w="0" w:type="dxa"/>
              <w:right w:w="108" w:type="dxa"/>
            </w:tcMar>
            <w:vAlign w:val="center"/>
            <w:hideMark/>
          </w:tcPr>
          <w:p w14:paraId="3290F668" w14:textId="77777777" w:rsidR="003A5C08" w:rsidRDefault="003A5C08" w:rsidP="0076425B">
            <w:pPr>
              <w:contextualSpacing/>
              <w:rPr>
                <w:rFonts w:cs="Arial"/>
                <w:b/>
                <w:bCs/>
                <w:color w:val="FFFFFF" w:themeColor="background1"/>
                <w:sz w:val="22"/>
                <w:szCs w:val="22"/>
                <w:lang w:eastAsia="en-AU"/>
              </w:rPr>
            </w:pPr>
            <w:r>
              <w:rPr>
                <w:rFonts w:cs="Arial"/>
                <w:b/>
                <w:bCs/>
                <w:color w:val="FFFFFF" w:themeColor="background1"/>
                <w:sz w:val="22"/>
                <w:szCs w:val="22"/>
                <w:lang w:eastAsia="en-AU"/>
              </w:rPr>
              <w:t>Version #</w:t>
            </w:r>
          </w:p>
        </w:tc>
        <w:tc>
          <w:tcPr>
            <w:tcW w:w="6946" w:type="dxa"/>
            <w:gridSpan w:val="3"/>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7E49C992" w14:textId="77777777" w:rsidR="003A5C08" w:rsidRDefault="003A5C08" w:rsidP="0076425B">
            <w:pPr>
              <w:contextualSpacing/>
              <w:rPr>
                <w:rFonts w:cs="Arial"/>
                <w:b/>
                <w:bCs/>
                <w:color w:val="FFFFFF" w:themeColor="background1"/>
                <w:sz w:val="22"/>
                <w:szCs w:val="22"/>
                <w:lang w:eastAsia="en-AU"/>
              </w:rPr>
            </w:pPr>
            <w:r>
              <w:rPr>
                <w:rFonts w:cs="Arial"/>
                <w:b/>
                <w:bCs/>
                <w:color w:val="FFFFFF" w:themeColor="background1"/>
                <w:sz w:val="22"/>
                <w:szCs w:val="22"/>
                <w:lang w:eastAsia="en-AU"/>
              </w:rPr>
              <w:t>Change Description</w:t>
            </w:r>
          </w:p>
        </w:tc>
        <w:tc>
          <w:tcPr>
            <w:tcW w:w="1525" w:type="dxa"/>
            <w:gridSpan w:val="2"/>
            <w:tcBorders>
              <w:top w:val="single" w:sz="8" w:space="0" w:color="auto"/>
              <w:left w:val="nil"/>
              <w:bottom w:val="single" w:sz="8" w:space="0" w:color="auto"/>
              <w:right w:val="single" w:sz="8" w:space="0" w:color="auto"/>
            </w:tcBorders>
            <w:shd w:val="clear" w:color="auto" w:fill="00234B"/>
            <w:tcMar>
              <w:top w:w="0" w:type="dxa"/>
              <w:left w:w="108" w:type="dxa"/>
              <w:bottom w:w="0" w:type="dxa"/>
              <w:right w:w="108" w:type="dxa"/>
            </w:tcMar>
            <w:vAlign w:val="center"/>
            <w:hideMark/>
          </w:tcPr>
          <w:p w14:paraId="6FC6E56A" w14:textId="77777777" w:rsidR="003A5C08" w:rsidRDefault="003A5C08" w:rsidP="0076425B">
            <w:pPr>
              <w:contextualSpacing/>
              <w:rPr>
                <w:rFonts w:cs="Arial"/>
                <w:b/>
                <w:bCs/>
                <w:color w:val="FFFFFF" w:themeColor="background1"/>
                <w:sz w:val="22"/>
                <w:szCs w:val="22"/>
                <w:lang w:eastAsia="en-AU"/>
              </w:rPr>
            </w:pPr>
            <w:r>
              <w:rPr>
                <w:rFonts w:cs="Arial"/>
                <w:b/>
                <w:bCs/>
                <w:color w:val="FFFFFF" w:themeColor="background1"/>
                <w:sz w:val="22"/>
                <w:szCs w:val="22"/>
                <w:lang w:eastAsia="en-AU"/>
              </w:rPr>
              <w:t>Introduced</w:t>
            </w:r>
          </w:p>
        </w:tc>
      </w:tr>
      <w:tr w:rsidR="003A5C08" w14:paraId="0CA014B7" w14:textId="77777777" w:rsidTr="0076425B">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68CD5" w14:textId="77777777" w:rsidR="003A5C08" w:rsidRDefault="003A5C08" w:rsidP="0076425B">
            <w:pPr>
              <w:contextualSpacing/>
              <w:rPr>
                <w:rFonts w:cs="Arial"/>
                <w:sz w:val="22"/>
                <w:szCs w:val="22"/>
                <w:lang w:eastAsia="en-AU"/>
              </w:rPr>
            </w:pPr>
            <w:r>
              <w:rPr>
                <w:rFonts w:cs="Arial"/>
                <w:sz w:val="22"/>
                <w:szCs w:val="22"/>
                <w:lang w:eastAsia="en-AU"/>
              </w:rPr>
              <w:t>1</w:t>
            </w: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1C59873" w14:textId="77777777" w:rsidR="003A5C08" w:rsidRDefault="003A5C08" w:rsidP="0076425B">
            <w:pPr>
              <w:contextualSpacing/>
              <w:rPr>
                <w:rFonts w:cs="Arial"/>
                <w:sz w:val="22"/>
                <w:szCs w:val="22"/>
                <w:lang w:eastAsia="en-AU"/>
              </w:rPr>
            </w:pPr>
            <w:r>
              <w:rPr>
                <w:rFonts w:cs="Arial"/>
                <w:sz w:val="22"/>
                <w:szCs w:val="22"/>
                <w:lang w:eastAsia="en-AU"/>
              </w:rPr>
              <w:t>Original document</w:t>
            </w: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4766226" w14:textId="63502A59" w:rsidR="003A5C08" w:rsidRDefault="003A5C08" w:rsidP="0076425B">
            <w:pPr>
              <w:contextualSpacing/>
              <w:rPr>
                <w:rFonts w:cs="Arial"/>
                <w:sz w:val="22"/>
                <w:szCs w:val="22"/>
                <w:lang w:eastAsia="en-AU"/>
              </w:rPr>
            </w:pPr>
            <w:r>
              <w:rPr>
                <w:rFonts w:cs="Arial"/>
                <w:sz w:val="22"/>
                <w:szCs w:val="22"/>
                <w:lang w:eastAsia="en-AU"/>
              </w:rPr>
              <w:t>20</w:t>
            </w:r>
            <w:r>
              <w:rPr>
                <w:rFonts w:cs="Arial"/>
                <w:sz w:val="22"/>
                <w:szCs w:val="22"/>
                <w:lang w:eastAsia="en-AU"/>
              </w:rPr>
              <w:t>22</w:t>
            </w:r>
          </w:p>
        </w:tc>
      </w:tr>
      <w:tr w:rsidR="003A5C08" w14:paraId="035D2BF6" w14:textId="77777777" w:rsidTr="0076425B">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4759D7" w14:textId="77777777" w:rsidR="003A5C08" w:rsidRDefault="003A5C08" w:rsidP="0076425B">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704E7122" w14:textId="77777777" w:rsidR="003A5C08" w:rsidRDefault="003A5C08" w:rsidP="0076425B">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0C571213" w14:textId="77777777" w:rsidR="003A5C08" w:rsidRDefault="003A5C08" w:rsidP="0076425B">
            <w:pPr>
              <w:contextualSpacing/>
              <w:rPr>
                <w:rFonts w:cs="Arial"/>
                <w:sz w:val="22"/>
                <w:szCs w:val="22"/>
                <w:lang w:eastAsia="en-AU"/>
              </w:rPr>
            </w:pPr>
          </w:p>
        </w:tc>
      </w:tr>
      <w:tr w:rsidR="003A5C08" w14:paraId="5CE6E529" w14:textId="77777777" w:rsidTr="0076425B">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C33AB" w14:textId="77777777" w:rsidR="003A5C08" w:rsidRDefault="003A5C08" w:rsidP="0076425B">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5A06DC8B" w14:textId="77777777" w:rsidR="003A5C08" w:rsidRDefault="003A5C08" w:rsidP="0076425B">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5447ADE4" w14:textId="77777777" w:rsidR="003A5C08" w:rsidRDefault="003A5C08" w:rsidP="0076425B">
            <w:pPr>
              <w:contextualSpacing/>
              <w:rPr>
                <w:rFonts w:cs="Arial"/>
                <w:sz w:val="22"/>
                <w:szCs w:val="22"/>
                <w:lang w:eastAsia="en-AU"/>
              </w:rPr>
            </w:pPr>
          </w:p>
        </w:tc>
      </w:tr>
      <w:tr w:rsidR="003A5C08" w14:paraId="05B33535" w14:textId="77777777" w:rsidTr="0076425B">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F22DDD" w14:textId="77777777" w:rsidR="003A5C08" w:rsidRDefault="003A5C08" w:rsidP="0076425B">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05D63435" w14:textId="77777777" w:rsidR="003A5C08" w:rsidRDefault="003A5C08" w:rsidP="0076425B">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059D7C38" w14:textId="77777777" w:rsidR="003A5C08" w:rsidRDefault="003A5C08" w:rsidP="0076425B">
            <w:pPr>
              <w:contextualSpacing/>
              <w:rPr>
                <w:rFonts w:cs="Arial"/>
                <w:sz w:val="22"/>
                <w:szCs w:val="22"/>
                <w:lang w:eastAsia="en-AU"/>
              </w:rPr>
            </w:pPr>
          </w:p>
        </w:tc>
      </w:tr>
      <w:tr w:rsidR="003A5C08" w14:paraId="700138BF" w14:textId="77777777" w:rsidTr="0076425B">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0CE2F5" w14:textId="77777777" w:rsidR="003A5C08" w:rsidRDefault="003A5C08" w:rsidP="0076425B">
            <w:pPr>
              <w:contextualSpacing/>
              <w:rPr>
                <w:rFonts w:cs="Arial"/>
                <w:sz w:val="22"/>
                <w:szCs w:val="22"/>
                <w:lang w:eastAsia="en-AU"/>
              </w:rPr>
            </w:pPr>
          </w:p>
        </w:tc>
        <w:tc>
          <w:tcPr>
            <w:tcW w:w="6946" w:type="dxa"/>
            <w:gridSpan w:val="3"/>
            <w:tcBorders>
              <w:top w:val="nil"/>
              <w:left w:val="nil"/>
              <w:bottom w:val="single" w:sz="8" w:space="0" w:color="auto"/>
              <w:right w:val="single" w:sz="8" w:space="0" w:color="auto"/>
            </w:tcBorders>
            <w:tcMar>
              <w:top w:w="0" w:type="dxa"/>
              <w:left w:w="108" w:type="dxa"/>
              <w:bottom w:w="0" w:type="dxa"/>
              <w:right w:w="108" w:type="dxa"/>
            </w:tcMar>
          </w:tcPr>
          <w:p w14:paraId="546BAD64" w14:textId="77777777" w:rsidR="003A5C08" w:rsidRDefault="003A5C08" w:rsidP="0076425B">
            <w:pPr>
              <w:contextualSpacing/>
              <w:rPr>
                <w:rFonts w:cs="Arial"/>
                <w:sz w:val="22"/>
                <w:szCs w:val="22"/>
                <w:lang w:eastAsia="en-AU"/>
              </w:rPr>
            </w:pPr>
          </w:p>
        </w:tc>
        <w:tc>
          <w:tcPr>
            <w:tcW w:w="1525" w:type="dxa"/>
            <w:gridSpan w:val="2"/>
            <w:tcBorders>
              <w:top w:val="nil"/>
              <w:left w:val="nil"/>
              <w:bottom w:val="single" w:sz="8" w:space="0" w:color="auto"/>
              <w:right w:val="single" w:sz="8" w:space="0" w:color="auto"/>
            </w:tcBorders>
            <w:tcMar>
              <w:top w:w="0" w:type="dxa"/>
              <w:left w:w="108" w:type="dxa"/>
              <w:bottom w:w="0" w:type="dxa"/>
              <w:right w:w="108" w:type="dxa"/>
            </w:tcMar>
          </w:tcPr>
          <w:p w14:paraId="41E7ADBE" w14:textId="77777777" w:rsidR="003A5C08" w:rsidRDefault="003A5C08" w:rsidP="0076425B">
            <w:pPr>
              <w:contextualSpacing/>
              <w:rPr>
                <w:rFonts w:cs="Arial"/>
                <w:sz w:val="22"/>
                <w:szCs w:val="22"/>
                <w:lang w:eastAsia="en-AU"/>
              </w:rPr>
            </w:pPr>
          </w:p>
        </w:tc>
      </w:tr>
      <w:tr w:rsidR="003A5C08" w14:paraId="7CAF703D" w14:textId="77777777" w:rsidTr="0076425B">
        <w:tc>
          <w:tcPr>
            <w:tcW w:w="127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9EAF8B6" w14:textId="77777777" w:rsidR="003A5C08" w:rsidRDefault="003A5C08" w:rsidP="0076425B">
            <w:pPr>
              <w:contextualSpacing/>
              <w:rPr>
                <w:rFonts w:cs="Arial"/>
                <w:sz w:val="22"/>
                <w:szCs w:val="22"/>
                <w:lang w:eastAsia="en-AU"/>
              </w:rPr>
            </w:pPr>
          </w:p>
        </w:tc>
        <w:tc>
          <w:tcPr>
            <w:tcW w:w="6946"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14:paraId="46544BBD" w14:textId="77777777" w:rsidR="003A5C08" w:rsidRDefault="003A5C08" w:rsidP="0076425B">
            <w:pPr>
              <w:contextualSpacing/>
              <w:rPr>
                <w:rFonts w:cs="Arial"/>
                <w:sz w:val="22"/>
                <w:szCs w:val="22"/>
                <w:lang w:eastAsia="en-AU"/>
              </w:rPr>
            </w:pPr>
          </w:p>
        </w:tc>
        <w:tc>
          <w:tcPr>
            <w:tcW w:w="1525"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14:paraId="2AEA619C" w14:textId="77777777" w:rsidR="003A5C08" w:rsidRDefault="003A5C08" w:rsidP="0076425B">
            <w:pPr>
              <w:contextualSpacing/>
              <w:rPr>
                <w:rFonts w:cs="Arial"/>
                <w:sz w:val="22"/>
                <w:szCs w:val="22"/>
                <w:lang w:eastAsia="en-AU"/>
              </w:rPr>
            </w:pPr>
          </w:p>
        </w:tc>
        <w:bookmarkEnd w:id="0"/>
      </w:tr>
      <w:tr w:rsidR="003A5C08" w14:paraId="69E2449D" w14:textId="77777777" w:rsidTr="0076425B">
        <w:tc>
          <w:tcPr>
            <w:tcW w:w="127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71DACE" w14:textId="77777777" w:rsidR="003A5C08" w:rsidRDefault="003A5C08" w:rsidP="0076425B">
            <w:pPr>
              <w:contextualSpacing/>
              <w:rPr>
                <w:rFonts w:cs="Arial"/>
                <w:sz w:val="22"/>
                <w:szCs w:val="22"/>
                <w:lang w:eastAsia="en-AU"/>
              </w:rPr>
            </w:pPr>
          </w:p>
        </w:tc>
        <w:tc>
          <w:tcPr>
            <w:tcW w:w="694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37E3FA69" w14:textId="77777777" w:rsidR="003A5C08" w:rsidRDefault="003A5C08" w:rsidP="0076425B">
            <w:pPr>
              <w:contextualSpacing/>
              <w:rPr>
                <w:rFonts w:cs="Arial"/>
                <w:sz w:val="22"/>
                <w:szCs w:val="22"/>
                <w:lang w:eastAsia="en-AU"/>
              </w:rPr>
            </w:pPr>
          </w:p>
        </w:tc>
        <w:tc>
          <w:tcPr>
            <w:tcW w:w="152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00A6570" w14:textId="77777777" w:rsidR="003A5C08" w:rsidRDefault="003A5C08" w:rsidP="0076425B">
            <w:pPr>
              <w:contextualSpacing/>
              <w:rPr>
                <w:rFonts w:cs="Arial"/>
                <w:sz w:val="22"/>
                <w:szCs w:val="22"/>
                <w:lang w:eastAsia="en-AU"/>
              </w:rPr>
            </w:pPr>
          </w:p>
        </w:tc>
      </w:tr>
      <w:tr w:rsidR="003A5C08" w14:paraId="570E667B" w14:textId="77777777" w:rsidTr="0076425B">
        <w:tc>
          <w:tcPr>
            <w:tcW w:w="12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86F2D74" w14:textId="77777777" w:rsidR="003A5C08" w:rsidRDefault="003A5C08" w:rsidP="0076425B">
            <w:pPr>
              <w:contextualSpacing/>
              <w:rPr>
                <w:rFonts w:cs="Arial"/>
                <w:sz w:val="22"/>
                <w:szCs w:val="22"/>
                <w:lang w:eastAsia="en-AU"/>
              </w:rPr>
            </w:pPr>
          </w:p>
        </w:tc>
        <w:tc>
          <w:tcPr>
            <w:tcW w:w="69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14:paraId="4C2F7CA1" w14:textId="77777777" w:rsidR="003A5C08" w:rsidRDefault="003A5C08" w:rsidP="0076425B">
            <w:pPr>
              <w:contextualSpacing/>
              <w:rPr>
                <w:rFonts w:cs="Arial"/>
                <w:sz w:val="22"/>
                <w:szCs w:val="22"/>
                <w:lang w:eastAsia="en-AU"/>
              </w:rPr>
            </w:pPr>
          </w:p>
        </w:tc>
        <w:tc>
          <w:tcPr>
            <w:tcW w:w="152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4CCFCE3" w14:textId="77777777" w:rsidR="003A5C08" w:rsidRDefault="003A5C08" w:rsidP="0076425B">
            <w:pPr>
              <w:contextualSpacing/>
              <w:rPr>
                <w:rFonts w:cs="Arial"/>
                <w:sz w:val="22"/>
                <w:szCs w:val="22"/>
                <w:lang w:eastAsia="en-AU"/>
              </w:rPr>
            </w:pPr>
          </w:p>
        </w:tc>
      </w:tr>
    </w:tbl>
    <w:p w14:paraId="5E7E6A9A" w14:textId="77777777" w:rsidR="003A5C08" w:rsidRDefault="003A5C08" w:rsidP="003A5C08">
      <w:pPr>
        <w:rPr>
          <w:rFonts w:cs="Arial"/>
          <w:sz w:val="22"/>
          <w:szCs w:val="22"/>
          <w:lang w:val="en-US"/>
        </w:rPr>
      </w:pPr>
    </w:p>
    <w:p w14:paraId="32CC81B1" w14:textId="77777777" w:rsidR="003A5C08" w:rsidRDefault="003A5C08" w:rsidP="003A5C08">
      <w:pPr>
        <w:widowControl w:val="0"/>
        <w:autoSpaceDE w:val="0"/>
        <w:autoSpaceDN w:val="0"/>
        <w:rPr>
          <w:lang w:val="en-GB" w:eastAsia="en-GB" w:bidi="en-GB"/>
        </w:rPr>
      </w:pPr>
    </w:p>
    <w:p w14:paraId="6A9844C8" w14:textId="77777777" w:rsidR="003A5C08" w:rsidRDefault="003A5C08" w:rsidP="003A5C08">
      <w:pPr>
        <w:widowControl w:val="0"/>
        <w:autoSpaceDE w:val="0"/>
        <w:autoSpaceDN w:val="0"/>
        <w:rPr>
          <w:lang w:val="en-GB" w:eastAsia="en-GB" w:bidi="en-GB"/>
        </w:rPr>
      </w:pPr>
    </w:p>
    <w:p w14:paraId="6E93928E" w14:textId="77777777" w:rsidR="003A5C08" w:rsidRDefault="003A5C08" w:rsidP="003A5C08">
      <w:pPr>
        <w:widowControl w:val="0"/>
        <w:autoSpaceDE w:val="0"/>
        <w:autoSpaceDN w:val="0"/>
        <w:rPr>
          <w:lang w:val="en-GB" w:eastAsia="en-GB" w:bidi="en-GB"/>
        </w:rPr>
      </w:pPr>
    </w:p>
    <w:p w14:paraId="2E6A52FD" w14:textId="77777777" w:rsidR="003A5C08" w:rsidRDefault="003A5C08" w:rsidP="003A5C08">
      <w:pPr>
        <w:widowControl w:val="0"/>
        <w:autoSpaceDE w:val="0"/>
        <w:autoSpaceDN w:val="0"/>
        <w:rPr>
          <w:lang w:val="en-GB" w:eastAsia="en-GB" w:bidi="en-GB"/>
        </w:rPr>
      </w:pPr>
    </w:p>
    <w:p w14:paraId="3FFE8210" w14:textId="77777777" w:rsidR="003A5C08" w:rsidRDefault="003A5C08" w:rsidP="003A5C08">
      <w:pPr>
        <w:widowControl w:val="0"/>
        <w:autoSpaceDE w:val="0"/>
        <w:autoSpaceDN w:val="0"/>
        <w:rPr>
          <w:lang w:val="en-GB" w:eastAsia="en-GB" w:bidi="en-GB"/>
        </w:rPr>
      </w:pPr>
    </w:p>
    <w:p w14:paraId="21D06499" w14:textId="77777777" w:rsidR="003A5C08" w:rsidRPr="003A5C08" w:rsidRDefault="003A5C08" w:rsidP="003A5C08">
      <w:pPr>
        <w:widowControl w:val="0"/>
        <w:autoSpaceDE w:val="0"/>
        <w:autoSpaceDN w:val="0"/>
        <w:rPr>
          <w:rFonts w:ascii="Calibri" w:hAnsi="Calibri"/>
          <w:sz w:val="20"/>
          <w:szCs w:val="20"/>
          <w:lang w:eastAsia="en-AU"/>
        </w:rPr>
      </w:pPr>
      <w:r w:rsidRPr="003A5C08">
        <w:rPr>
          <w:sz w:val="20"/>
          <w:szCs w:val="20"/>
          <w:lang w:val="en-GB" w:eastAsia="en-GB" w:bidi="en-GB"/>
        </w:rPr>
        <w:t xml:space="preserve">COPYRIGHT NOTICE ©CPA Australia Ltd (ABN 64 008 392 452), 2021. All rights reserved. The reproduction, adaptation, communication or sale of these materials (‘the Materials’) is strictly prohibited unless expressly permitted under Division 3 of the Copyright Act 1968 (Cth). For permission to reproduce any part of these materials, please contact the CPA Australia Legal Business Unit - </w:t>
      </w:r>
      <w:hyperlink r:id="rId6" w:history="1">
        <w:r w:rsidRPr="003A5C08">
          <w:rPr>
            <w:color w:val="0000FF"/>
            <w:sz w:val="20"/>
            <w:szCs w:val="20"/>
            <w:u w:val="single"/>
            <w:lang w:val="en-GB" w:eastAsia="en-GB" w:bidi="en-GB"/>
          </w:rPr>
          <w:t>legal@cpaaustralia.com.au</w:t>
        </w:r>
      </w:hyperlink>
      <w:r w:rsidRPr="003A5C08">
        <w:rPr>
          <w:sz w:val="20"/>
          <w:szCs w:val="20"/>
          <w:lang w:val="en-GB" w:eastAsia="en-GB" w:bidi="en-GB"/>
        </w:rPr>
        <w:t xml:space="preserve">. </w:t>
      </w:r>
    </w:p>
    <w:p w14:paraId="52B011AE" w14:textId="77777777" w:rsidR="003A5C08" w:rsidRPr="003A5C08" w:rsidRDefault="003A5C08" w:rsidP="003A5C08">
      <w:pPr>
        <w:widowControl w:val="0"/>
        <w:autoSpaceDE w:val="0"/>
        <w:autoSpaceDN w:val="0"/>
        <w:rPr>
          <w:rFonts w:cs="Arial"/>
          <w:i/>
          <w:iCs/>
          <w:sz w:val="20"/>
          <w:szCs w:val="20"/>
          <w:lang w:val="en-NZ" w:eastAsia="en-NZ" w:bidi="en-GB"/>
        </w:rPr>
      </w:pPr>
    </w:p>
    <w:p w14:paraId="47A320B8" w14:textId="77777777" w:rsidR="003A5C08" w:rsidRPr="003A5C08" w:rsidRDefault="003A5C08" w:rsidP="003A5C08">
      <w:pPr>
        <w:widowControl w:val="0"/>
        <w:autoSpaceDE w:val="0"/>
        <w:autoSpaceDN w:val="0"/>
        <w:rPr>
          <w:sz w:val="20"/>
          <w:szCs w:val="20"/>
          <w:lang w:val="en-GB" w:eastAsia="en-GB" w:bidi="en-GB"/>
        </w:rPr>
      </w:pPr>
    </w:p>
    <w:p w14:paraId="582B0AE2" w14:textId="77777777" w:rsidR="003A5C08" w:rsidRPr="003A5C08" w:rsidRDefault="003A5C08" w:rsidP="003A5C08">
      <w:pPr>
        <w:ind w:right="417"/>
        <w:jc w:val="both"/>
        <w:rPr>
          <w:b/>
          <w:bCs/>
          <w:sz w:val="20"/>
          <w:szCs w:val="20"/>
          <w:lang w:val="en-GB" w:eastAsia="en-GB" w:bidi="en-GB"/>
        </w:rPr>
      </w:pPr>
      <w:r w:rsidRPr="003A5C08">
        <w:rPr>
          <w:b/>
          <w:bCs/>
          <w:sz w:val="20"/>
          <w:szCs w:val="20"/>
          <w:lang w:val="en-GB" w:eastAsia="en-GB" w:bidi="en-GB"/>
        </w:rPr>
        <w:t>Information correct at time of publishing.</w:t>
      </w:r>
    </w:p>
    <w:p w14:paraId="064D6A5B" w14:textId="77777777" w:rsidR="003A5C08" w:rsidRPr="003A5C08" w:rsidRDefault="003A5C08" w:rsidP="003A5C08">
      <w:pPr>
        <w:rPr>
          <w:sz w:val="20"/>
          <w:szCs w:val="20"/>
          <w:lang w:val="en-GB" w:eastAsia="en-GB" w:bidi="en-GB"/>
        </w:rPr>
      </w:pPr>
      <w:r w:rsidRPr="003A5C08">
        <w:rPr>
          <w:sz w:val="20"/>
          <w:szCs w:val="20"/>
          <w:lang w:val="en-GB" w:eastAsia="en-GB" w:bidi="en-GB"/>
        </w:rPr>
        <w:t> </w:t>
      </w:r>
    </w:p>
    <w:p w14:paraId="62F5C7E6" w14:textId="77777777" w:rsidR="003A5C08" w:rsidRPr="003A5C08" w:rsidRDefault="003A5C08" w:rsidP="003A5C08">
      <w:pPr>
        <w:rPr>
          <w:sz w:val="20"/>
          <w:szCs w:val="20"/>
          <w:lang w:val="en-GB" w:eastAsia="en-GB" w:bidi="en-GB"/>
        </w:rPr>
      </w:pPr>
      <w:r w:rsidRPr="003A5C08">
        <w:rPr>
          <w:sz w:val="20"/>
          <w:szCs w:val="20"/>
          <w:lang w:val="en-GB" w:eastAsia="en-GB" w:bidi="en-GB"/>
        </w:rPr>
        <w:t>DISCLAIMER CPA Australia Ltd has used reasonable care and skill in compiling the content of this material. However, CPA Australia Ltd makes no warranty as to the accuracy or completeness of any information in these materials. The publishers, authors, editors and facilitators are not responsible for the results of any actions on the basis of information in this work, nor for any errors or omissions. They expressly disclaim all and any liability to any person in respect of anything and the consequences of anything, done or omitted to be done by any such person in reliance, in whole or part, on the contents of this publication. The views expressed in this work are for reference purposes only and are not intended, in part or full, to constitute legal or professional advice. Further, as laws change frequently, all practitioners, readers, viewers and users are advised to undertake their own research or to seek professional advice to keep abreast of any reforms and developments in the law.</w:t>
      </w:r>
    </w:p>
    <w:p w14:paraId="0A02AE28" w14:textId="77777777" w:rsidR="003A5C08" w:rsidRPr="003A5C08" w:rsidRDefault="003A5C08" w:rsidP="003A5C08">
      <w:pPr>
        <w:rPr>
          <w:b/>
          <w:sz w:val="20"/>
          <w:szCs w:val="20"/>
          <w:highlight w:val="yellow"/>
        </w:rPr>
      </w:pPr>
      <w:r w:rsidRPr="003A5C08">
        <w:rPr>
          <w:sz w:val="20"/>
          <w:szCs w:val="20"/>
          <w:highlight w:val="yellow"/>
        </w:rPr>
        <w:br w:type="page"/>
      </w:r>
    </w:p>
    <w:p w14:paraId="56293BAA" w14:textId="23DFE1B7" w:rsidR="003A5C08" w:rsidRDefault="003A5C08">
      <w:pPr>
        <w:spacing w:after="160" w:line="259" w:lineRule="auto"/>
        <w:rPr>
          <w:b/>
          <w:color w:val="000000"/>
          <w:sz w:val="40"/>
          <w:szCs w:val="40"/>
        </w:rPr>
      </w:pPr>
    </w:p>
    <w:p w14:paraId="39E0EC2E" w14:textId="1A94B67B" w:rsidR="00C551B2" w:rsidRPr="006D6FD8" w:rsidRDefault="00A52B1F" w:rsidP="00C551B2">
      <w:pPr>
        <w:adjustRightInd w:val="0"/>
        <w:snapToGrid w:val="0"/>
        <w:spacing w:line="276" w:lineRule="auto"/>
        <w:rPr>
          <w:b/>
          <w:color w:val="000000"/>
          <w:sz w:val="40"/>
          <w:szCs w:val="40"/>
        </w:rPr>
      </w:pPr>
      <w:r w:rsidRPr="006D6FD8">
        <w:rPr>
          <w:b/>
          <w:color w:val="000000"/>
          <w:sz w:val="40"/>
          <w:szCs w:val="40"/>
        </w:rPr>
        <w:t xml:space="preserve">PCG 2021/4: Allocation of professional firm profits – Checklist </w:t>
      </w:r>
    </w:p>
    <w:p w14:paraId="04D186B1" w14:textId="77777777" w:rsidR="00A52B1F" w:rsidRDefault="00A52B1F" w:rsidP="00C551B2">
      <w:pPr>
        <w:adjustRightInd w:val="0"/>
        <w:snapToGrid w:val="0"/>
        <w:spacing w:line="276" w:lineRule="auto"/>
        <w:rPr>
          <w:b/>
          <w:color w:val="000000"/>
          <w:sz w:val="17"/>
          <w:szCs w:val="17"/>
        </w:rPr>
      </w:pPr>
    </w:p>
    <w:p w14:paraId="7528EFF1" w14:textId="75EB257A" w:rsidR="00A52B1F" w:rsidRDefault="00A52B1F" w:rsidP="00C551B2">
      <w:pPr>
        <w:adjustRightInd w:val="0"/>
        <w:snapToGrid w:val="0"/>
        <w:spacing w:line="276" w:lineRule="auto"/>
        <w:rPr>
          <w:color w:val="000000"/>
          <w:sz w:val="17"/>
          <w:szCs w:val="17"/>
        </w:rPr>
      </w:pPr>
      <w:r w:rsidRPr="00A52B1F">
        <w:rPr>
          <w:color w:val="000000"/>
          <w:sz w:val="17"/>
          <w:szCs w:val="17"/>
        </w:rPr>
        <w:t xml:space="preserve">The ATO published their revised guideline on </w:t>
      </w:r>
      <w:r w:rsidR="000F53D0">
        <w:rPr>
          <w:color w:val="000000"/>
          <w:sz w:val="17"/>
          <w:szCs w:val="17"/>
        </w:rPr>
        <w:t xml:space="preserve">the </w:t>
      </w:r>
      <w:r w:rsidRPr="00A52B1F">
        <w:rPr>
          <w:color w:val="000000"/>
          <w:sz w:val="17"/>
          <w:szCs w:val="17"/>
        </w:rPr>
        <w:t>allocation of professional firm profits on 16 December 2021 with the guidelines applying from 1 July 2022</w:t>
      </w:r>
      <w:r>
        <w:rPr>
          <w:color w:val="000000"/>
          <w:sz w:val="17"/>
          <w:szCs w:val="17"/>
        </w:rPr>
        <w:t xml:space="preserve"> in the form of PCG 2021/4 (</w:t>
      </w:r>
      <w:r w:rsidRPr="00A52B1F">
        <w:rPr>
          <w:b/>
          <w:color w:val="000000"/>
          <w:sz w:val="17"/>
          <w:szCs w:val="17"/>
        </w:rPr>
        <w:t>PCG</w:t>
      </w:r>
      <w:r>
        <w:rPr>
          <w:color w:val="000000"/>
          <w:sz w:val="17"/>
          <w:szCs w:val="17"/>
        </w:rPr>
        <w:t>)</w:t>
      </w:r>
      <w:r w:rsidRPr="00A52B1F">
        <w:rPr>
          <w:color w:val="000000"/>
          <w:sz w:val="17"/>
          <w:szCs w:val="17"/>
        </w:rPr>
        <w:t xml:space="preserve">. </w:t>
      </w:r>
      <w:r w:rsidR="000F53D0">
        <w:rPr>
          <w:color w:val="000000"/>
          <w:sz w:val="17"/>
          <w:szCs w:val="17"/>
        </w:rPr>
        <w:t>T</w:t>
      </w:r>
      <w:r w:rsidR="000F53D0" w:rsidRPr="000F53D0">
        <w:rPr>
          <w:color w:val="000000"/>
          <w:sz w:val="17"/>
          <w:szCs w:val="17"/>
        </w:rPr>
        <w:t>h</w:t>
      </w:r>
      <w:r w:rsidR="000F53D0">
        <w:rPr>
          <w:color w:val="000000"/>
          <w:sz w:val="17"/>
          <w:szCs w:val="17"/>
        </w:rPr>
        <w:t>e</w:t>
      </w:r>
      <w:r w:rsidR="000F53D0" w:rsidRPr="000F53D0">
        <w:rPr>
          <w:color w:val="000000"/>
          <w:sz w:val="17"/>
          <w:szCs w:val="17"/>
        </w:rPr>
        <w:t xml:space="preserve"> </w:t>
      </w:r>
      <w:r w:rsidR="000F53D0">
        <w:rPr>
          <w:color w:val="000000"/>
          <w:sz w:val="17"/>
          <w:szCs w:val="17"/>
        </w:rPr>
        <w:t>g</w:t>
      </w:r>
      <w:r w:rsidR="000F53D0" w:rsidRPr="000F53D0">
        <w:rPr>
          <w:color w:val="000000"/>
          <w:sz w:val="17"/>
          <w:szCs w:val="17"/>
        </w:rPr>
        <w:t>uideline sets out the ATO's compliance approach to the allocation of profits or income from professional firms in the assessable income of the individual professional practitioner (</w:t>
      </w:r>
      <w:r w:rsidR="000F53D0" w:rsidRPr="0071272C">
        <w:rPr>
          <w:b/>
          <w:bCs/>
          <w:color w:val="000000"/>
          <w:sz w:val="17"/>
          <w:szCs w:val="17"/>
        </w:rPr>
        <w:t>IPP</w:t>
      </w:r>
      <w:r w:rsidR="000F53D0">
        <w:rPr>
          <w:color w:val="000000"/>
          <w:sz w:val="17"/>
          <w:szCs w:val="17"/>
        </w:rPr>
        <w:t>)</w:t>
      </w:r>
      <w:r w:rsidR="00485A08">
        <w:rPr>
          <w:color w:val="000000"/>
          <w:sz w:val="17"/>
          <w:szCs w:val="17"/>
        </w:rPr>
        <w:t xml:space="preserve">. It is </w:t>
      </w:r>
      <w:r w:rsidR="000F53D0">
        <w:rPr>
          <w:color w:val="000000"/>
          <w:sz w:val="17"/>
          <w:szCs w:val="17"/>
        </w:rPr>
        <w:t>not interpretive guidance</w:t>
      </w:r>
      <w:r w:rsidR="00485A08">
        <w:rPr>
          <w:color w:val="000000"/>
          <w:sz w:val="17"/>
          <w:szCs w:val="17"/>
        </w:rPr>
        <w:t xml:space="preserve"> like a Taxation Ruling</w:t>
      </w:r>
      <w:r w:rsidR="000F53D0">
        <w:rPr>
          <w:color w:val="000000"/>
          <w:sz w:val="17"/>
          <w:szCs w:val="17"/>
        </w:rPr>
        <w:t>.</w:t>
      </w:r>
    </w:p>
    <w:p w14:paraId="3E89E0DE" w14:textId="77777777" w:rsidR="00A52B1F" w:rsidRDefault="00A52B1F" w:rsidP="00C551B2">
      <w:pPr>
        <w:adjustRightInd w:val="0"/>
        <w:snapToGrid w:val="0"/>
        <w:spacing w:line="276" w:lineRule="auto"/>
        <w:rPr>
          <w:color w:val="000000"/>
          <w:sz w:val="17"/>
          <w:szCs w:val="17"/>
        </w:rPr>
      </w:pPr>
    </w:p>
    <w:p w14:paraId="4A848947" w14:textId="55A689DB" w:rsidR="00A52B1F" w:rsidRDefault="00A52B1F" w:rsidP="00C551B2">
      <w:pPr>
        <w:adjustRightInd w:val="0"/>
        <w:snapToGrid w:val="0"/>
        <w:spacing w:line="276" w:lineRule="auto"/>
        <w:rPr>
          <w:color w:val="000000"/>
          <w:sz w:val="17"/>
          <w:szCs w:val="17"/>
        </w:rPr>
      </w:pPr>
      <w:r>
        <w:rPr>
          <w:color w:val="000000"/>
          <w:sz w:val="17"/>
          <w:szCs w:val="17"/>
        </w:rPr>
        <w:t xml:space="preserve">The ATO </w:t>
      </w:r>
      <w:r w:rsidR="000F53D0">
        <w:rPr>
          <w:color w:val="000000"/>
          <w:sz w:val="17"/>
          <w:szCs w:val="17"/>
        </w:rPr>
        <w:t xml:space="preserve">has developed </w:t>
      </w:r>
      <w:r>
        <w:rPr>
          <w:color w:val="000000"/>
          <w:sz w:val="17"/>
          <w:szCs w:val="17"/>
        </w:rPr>
        <w:t xml:space="preserve">the PCG to enable an </w:t>
      </w:r>
      <w:r w:rsidRPr="0071272C">
        <w:rPr>
          <w:bCs/>
          <w:color w:val="000000"/>
          <w:sz w:val="17"/>
          <w:szCs w:val="17"/>
        </w:rPr>
        <w:t>IPP</w:t>
      </w:r>
      <w:r>
        <w:rPr>
          <w:color w:val="000000"/>
          <w:sz w:val="17"/>
          <w:szCs w:val="17"/>
        </w:rPr>
        <w:t xml:space="preserve"> to:</w:t>
      </w:r>
    </w:p>
    <w:p w14:paraId="59934075" w14:textId="77777777" w:rsidR="00A52B1F" w:rsidRDefault="00A52B1F" w:rsidP="00C551B2">
      <w:pPr>
        <w:adjustRightInd w:val="0"/>
        <w:snapToGrid w:val="0"/>
        <w:spacing w:line="276" w:lineRule="auto"/>
        <w:rPr>
          <w:color w:val="000000"/>
          <w:sz w:val="17"/>
          <w:szCs w:val="17"/>
        </w:rPr>
      </w:pPr>
    </w:p>
    <w:p w14:paraId="011CB647" w14:textId="77777777" w:rsidR="00A52B1F" w:rsidRDefault="00A52B1F" w:rsidP="00A52B1F">
      <w:pPr>
        <w:pStyle w:val="ListParagraph"/>
        <w:numPr>
          <w:ilvl w:val="0"/>
          <w:numId w:val="1"/>
        </w:numPr>
        <w:adjustRightInd w:val="0"/>
        <w:snapToGrid w:val="0"/>
        <w:spacing w:line="276" w:lineRule="auto"/>
        <w:rPr>
          <w:color w:val="000000"/>
          <w:sz w:val="17"/>
          <w:szCs w:val="17"/>
        </w:rPr>
      </w:pPr>
      <w:r>
        <w:rPr>
          <w:color w:val="000000"/>
          <w:sz w:val="17"/>
          <w:szCs w:val="17"/>
        </w:rPr>
        <w:t>Determine the risk level regarding their profit allocation arrangement based on a risk assessment framework;</w:t>
      </w:r>
    </w:p>
    <w:p w14:paraId="4589793D" w14:textId="77777777" w:rsidR="00A52B1F" w:rsidRDefault="00A52B1F" w:rsidP="00A52B1F">
      <w:pPr>
        <w:pStyle w:val="ListParagraph"/>
        <w:numPr>
          <w:ilvl w:val="0"/>
          <w:numId w:val="1"/>
        </w:numPr>
        <w:adjustRightInd w:val="0"/>
        <w:snapToGrid w:val="0"/>
        <w:spacing w:line="276" w:lineRule="auto"/>
        <w:rPr>
          <w:color w:val="000000"/>
          <w:sz w:val="17"/>
          <w:szCs w:val="17"/>
        </w:rPr>
      </w:pPr>
      <w:r>
        <w:rPr>
          <w:color w:val="000000"/>
          <w:sz w:val="17"/>
          <w:szCs w:val="17"/>
        </w:rPr>
        <w:t>Determine level of engagement an IPP can expect from the ATO based on this risk assessment;</w:t>
      </w:r>
    </w:p>
    <w:p w14:paraId="45FD02E3" w14:textId="77777777" w:rsidR="00A52B1F" w:rsidRDefault="00A52B1F" w:rsidP="00A52B1F">
      <w:pPr>
        <w:pStyle w:val="ListParagraph"/>
        <w:numPr>
          <w:ilvl w:val="0"/>
          <w:numId w:val="1"/>
        </w:numPr>
        <w:adjustRightInd w:val="0"/>
        <w:snapToGrid w:val="0"/>
        <w:spacing w:line="276" w:lineRule="auto"/>
        <w:rPr>
          <w:color w:val="000000"/>
          <w:sz w:val="17"/>
          <w:szCs w:val="17"/>
        </w:rPr>
      </w:pPr>
      <w:r>
        <w:rPr>
          <w:color w:val="000000"/>
          <w:sz w:val="17"/>
          <w:szCs w:val="17"/>
        </w:rPr>
        <w:t xml:space="preserve">Decide whether to contact the ATO to discuss the IPP’s self-assessment of the arrangement if it is determined to be high risk; or </w:t>
      </w:r>
    </w:p>
    <w:p w14:paraId="166488B9" w14:textId="7FDBB0EE" w:rsidR="00A52B1F" w:rsidRPr="00A52B1F" w:rsidRDefault="00A52B1F" w:rsidP="00A52B1F">
      <w:pPr>
        <w:pStyle w:val="ListParagraph"/>
        <w:numPr>
          <w:ilvl w:val="0"/>
          <w:numId w:val="1"/>
        </w:numPr>
        <w:adjustRightInd w:val="0"/>
        <w:snapToGrid w:val="0"/>
        <w:spacing w:line="276" w:lineRule="auto"/>
        <w:rPr>
          <w:color w:val="000000"/>
          <w:sz w:val="17"/>
          <w:szCs w:val="17"/>
        </w:rPr>
      </w:pPr>
      <w:r>
        <w:rPr>
          <w:color w:val="000000"/>
          <w:sz w:val="17"/>
          <w:szCs w:val="17"/>
        </w:rPr>
        <w:t xml:space="preserve">Support application for binding </w:t>
      </w:r>
      <w:r w:rsidR="0069614B">
        <w:rPr>
          <w:color w:val="000000"/>
          <w:sz w:val="17"/>
          <w:szCs w:val="17"/>
        </w:rPr>
        <w:t>advice if</w:t>
      </w:r>
      <w:r>
        <w:rPr>
          <w:color w:val="000000"/>
          <w:sz w:val="17"/>
          <w:szCs w:val="17"/>
        </w:rPr>
        <w:t xml:space="preserve"> it is sought from the ATO. </w:t>
      </w:r>
    </w:p>
    <w:p w14:paraId="29DDD4E9" w14:textId="77777777" w:rsidR="00A52B1F" w:rsidRDefault="00A52B1F" w:rsidP="00C551B2">
      <w:pPr>
        <w:adjustRightInd w:val="0"/>
        <w:snapToGrid w:val="0"/>
        <w:spacing w:line="276" w:lineRule="auto"/>
        <w:rPr>
          <w:b/>
          <w:color w:val="000000"/>
          <w:sz w:val="17"/>
          <w:szCs w:val="17"/>
        </w:rPr>
      </w:pPr>
    </w:p>
    <w:p w14:paraId="3E3DAEDC" w14:textId="77777777" w:rsidR="00A52B1F" w:rsidRPr="00AC761F" w:rsidRDefault="00A52B1F" w:rsidP="00C551B2">
      <w:pPr>
        <w:adjustRightInd w:val="0"/>
        <w:snapToGrid w:val="0"/>
        <w:spacing w:line="276" w:lineRule="auto"/>
        <w:rPr>
          <w:color w:val="000000"/>
          <w:sz w:val="17"/>
          <w:szCs w:val="17"/>
        </w:rPr>
      </w:pPr>
      <w:r w:rsidRPr="00AC761F">
        <w:rPr>
          <w:color w:val="000000"/>
          <w:sz w:val="17"/>
          <w:szCs w:val="17"/>
        </w:rPr>
        <w:t xml:space="preserve">An IPP is only eligible to use the PCG for these </w:t>
      </w:r>
      <w:r w:rsidR="00AC761F" w:rsidRPr="00AC761F">
        <w:rPr>
          <w:color w:val="000000"/>
          <w:sz w:val="17"/>
          <w:szCs w:val="17"/>
        </w:rPr>
        <w:t>purposes</w:t>
      </w:r>
      <w:r w:rsidRPr="00AC761F">
        <w:rPr>
          <w:color w:val="000000"/>
          <w:sz w:val="17"/>
          <w:szCs w:val="17"/>
        </w:rPr>
        <w:t xml:space="preserve"> where it passes </w:t>
      </w:r>
      <w:r w:rsidR="00AC761F" w:rsidRPr="00AC761F">
        <w:rPr>
          <w:color w:val="000000"/>
          <w:sz w:val="17"/>
          <w:szCs w:val="17"/>
        </w:rPr>
        <w:t>two Gateways:</w:t>
      </w:r>
    </w:p>
    <w:p w14:paraId="5F69FAF2" w14:textId="77777777" w:rsidR="00AC761F" w:rsidRPr="00AC761F" w:rsidRDefault="00AC761F" w:rsidP="00C551B2">
      <w:pPr>
        <w:adjustRightInd w:val="0"/>
        <w:snapToGrid w:val="0"/>
        <w:spacing w:line="276" w:lineRule="auto"/>
        <w:rPr>
          <w:color w:val="000000"/>
          <w:sz w:val="17"/>
          <w:szCs w:val="17"/>
        </w:rPr>
      </w:pPr>
    </w:p>
    <w:p w14:paraId="7FCD0B9F" w14:textId="77777777" w:rsidR="00AC761F" w:rsidRPr="00AC761F" w:rsidRDefault="00AC761F" w:rsidP="00AC761F">
      <w:pPr>
        <w:pStyle w:val="ListParagraph"/>
        <w:numPr>
          <w:ilvl w:val="0"/>
          <w:numId w:val="2"/>
        </w:numPr>
        <w:adjustRightInd w:val="0"/>
        <w:snapToGrid w:val="0"/>
        <w:spacing w:line="276" w:lineRule="auto"/>
        <w:rPr>
          <w:color w:val="000000"/>
          <w:sz w:val="17"/>
          <w:szCs w:val="17"/>
        </w:rPr>
      </w:pPr>
      <w:r w:rsidRPr="00AC761F">
        <w:rPr>
          <w:color w:val="000000"/>
          <w:sz w:val="17"/>
          <w:szCs w:val="17"/>
        </w:rPr>
        <w:t>Gateway 1: There is sound commercial rationale for entering into and operating the arrangement or structure (see para 39-46 of the PCG, and below); and</w:t>
      </w:r>
    </w:p>
    <w:p w14:paraId="7843E0AC" w14:textId="54642207" w:rsidR="00AC761F" w:rsidRPr="00AC761F" w:rsidRDefault="00AC761F" w:rsidP="00AC761F">
      <w:pPr>
        <w:pStyle w:val="ListParagraph"/>
        <w:numPr>
          <w:ilvl w:val="0"/>
          <w:numId w:val="2"/>
        </w:numPr>
        <w:adjustRightInd w:val="0"/>
        <w:snapToGrid w:val="0"/>
        <w:spacing w:line="276" w:lineRule="auto"/>
        <w:rPr>
          <w:color w:val="000000"/>
          <w:sz w:val="17"/>
          <w:szCs w:val="17"/>
        </w:rPr>
      </w:pPr>
      <w:r w:rsidRPr="00AC761F">
        <w:rPr>
          <w:color w:val="000000"/>
          <w:sz w:val="17"/>
          <w:szCs w:val="17"/>
        </w:rPr>
        <w:t>Gateway 2: There must not be certain high-risk features (see para 47-59 of the PCG)</w:t>
      </w:r>
      <w:r w:rsidR="00BE4585">
        <w:rPr>
          <w:color w:val="000000"/>
          <w:sz w:val="17"/>
          <w:szCs w:val="17"/>
        </w:rPr>
        <w:t>.</w:t>
      </w:r>
    </w:p>
    <w:p w14:paraId="5F0F27E2" w14:textId="77777777" w:rsidR="00A52B1F" w:rsidRDefault="00A52B1F" w:rsidP="00C551B2">
      <w:pPr>
        <w:adjustRightInd w:val="0"/>
        <w:snapToGrid w:val="0"/>
        <w:spacing w:line="276" w:lineRule="auto"/>
        <w:rPr>
          <w:b/>
          <w:color w:val="000000"/>
          <w:sz w:val="17"/>
          <w:szCs w:val="17"/>
        </w:rPr>
      </w:pPr>
    </w:p>
    <w:p w14:paraId="6379FD9D" w14:textId="3F5CAB67" w:rsidR="00A52B1F" w:rsidRPr="00AC761F" w:rsidRDefault="00AC761F" w:rsidP="00C551B2">
      <w:pPr>
        <w:adjustRightInd w:val="0"/>
        <w:snapToGrid w:val="0"/>
        <w:spacing w:line="276" w:lineRule="auto"/>
        <w:rPr>
          <w:color w:val="000000"/>
          <w:sz w:val="17"/>
          <w:szCs w:val="17"/>
        </w:rPr>
      </w:pPr>
      <w:r w:rsidRPr="00AC761F">
        <w:rPr>
          <w:color w:val="000000"/>
          <w:sz w:val="17"/>
          <w:szCs w:val="17"/>
        </w:rPr>
        <w:t xml:space="preserve">The main reason to apply the PCG is to assess whether the IPP has a </w:t>
      </w:r>
      <w:r w:rsidR="0069614B" w:rsidRPr="00AC761F">
        <w:rPr>
          <w:color w:val="000000"/>
          <w:sz w:val="17"/>
          <w:szCs w:val="17"/>
        </w:rPr>
        <w:t>low-risk</w:t>
      </w:r>
      <w:r w:rsidRPr="00AC761F">
        <w:rPr>
          <w:color w:val="000000"/>
          <w:sz w:val="17"/>
          <w:szCs w:val="17"/>
        </w:rPr>
        <w:t xml:space="preserve"> rating</w:t>
      </w:r>
      <w:r>
        <w:rPr>
          <w:color w:val="000000"/>
          <w:sz w:val="17"/>
          <w:szCs w:val="17"/>
        </w:rPr>
        <w:t xml:space="preserve">, or how to restructure such that the IPP has a </w:t>
      </w:r>
      <w:r w:rsidR="0069614B">
        <w:rPr>
          <w:color w:val="000000"/>
          <w:sz w:val="17"/>
          <w:szCs w:val="17"/>
        </w:rPr>
        <w:t>low-risk</w:t>
      </w:r>
      <w:r>
        <w:rPr>
          <w:color w:val="000000"/>
          <w:sz w:val="17"/>
          <w:szCs w:val="17"/>
        </w:rPr>
        <w:t xml:space="preserve"> rating</w:t>
      </w:r>
      <w:r w:rsidRPr="00AC761F">
        <w:rPr>
          <w:color w:val="000000"/>
          <w:sz w:val="17"/>
          <w:szCs w:val="17"/>
        </w:rPr>
        <w:t xml:space="preserve">. </w:t>
      </w:r>
      <w:r>
        <w:rPr>
          <w:color w:val="000000"/>
          <w:sz w:val="17"/>
          <w:szCs w:val="17"/>
        </w:rPr>
        <w:t>This is because the ATO set out in the PCG that if an</w:t>
      </w:r>
      <w:r w:rsidR="00A52B1F" w:rsidRPr="00AC761F">
        <w:rPr>
          <w:color w:val="000000"/>
          <w:sz w:val="17"/>
          <w:szCs w:val="17"/>
        </w:rPr>
        <w:t xml:space="preserve"> IPP’s circumstance align with the low-risk rating as set out in the PCG, the ATO would generally not conduct compliance activity to test the tax outcomes of the arrangement. </w:t>
      </w:r>
    </w:p>
    <w:p w14:paraId="5A035B2E" w14:textId="77777777" w:rsidR="00A52B1F" w:rsidRDefault="00A52B1F" w:rsidP="00C551B2">
      <w:pPr>
        <w:adjustRightInd w:val="0"/>
        <w:snapToGrid w:val="0"/>
        <w:spacing w:line="276" w:lineRule="auto"/>
        <w:rPr>
          <w:b/>
          <w:color w:val="000000"/>
          <w:sz w:val="17"/>
          <w:szCs w:val="17"/>
        </w:rPr>
      </w:pPr>
    </w:p>
    <w:p w14:paraId="4DCDEA2C" w14:textId="6403F6DD" w:rsidR="00A52B1F" w:rsidRPr="003A12F4" w:rsidRDefault="00A52B1F" w:rsidP="00C551B2">
      <w:pPr>
        <w:adjustRightInd w:val="0"/>
        <w:snapToGrid w:val="0"/>
        <w:spacing w:line="276" w:lineRule="auto"/>
        <w:rPr>
          <w:color w:val="000000"/>
          <w:sz w:val="17"/>
          <w:szCs w:val="17"/>
        </w:rPr>
      </w:pPr>
      <w:r w:rsidRPr="003A12F4">
        <w:rPr>
          <w:color w:val="000000"/>
          <w:sz w:val="17"/>
          <w:szCs w:val="17"/>
        </w:rPr>
        <w:t xml:space="preserve">The ATO expects an IPP to annually </w:t>
      </w:r>
      <w:r w:rsidR="00AC761F" w:rsidRPr="003A12F4">
        <w:rPr>
          <w:color w:val="000000"/>
          <w:sz w:val="17"/>
          <w:szCs w:val="17"/>
        </w:rPr>
        <w:t xml:space="preserve">assess its eligibility to apply the </w:t>
      </w:r>
      <w:r w:rsidR="0069614B" w:rsidRPr="003A12F4">
        <w:rPr>
          <w:color w:val="000000"/>
          <w:sz w:val="17"/>
          <w:szCs w:val="17"/>
        </w:rPr>
        <w:t>PCG and</w:t>
      </w:r>
      <w:r w:rsidR="00AC761F" w:rsidRPr="003A12F4">
        <w:rPr>
          <w:color w:val="000000"/>
          <w:sz w:val="17"/>
          <w:szCs w:val="17"/>
        </w:rPr>
        <w:t xml:space="preserve"> have this documented. Any changes to the IPP’s business or arrangement should also be documented </w:t>
      </w:r>
      <w:r w:rsidR="003A12F4" w:rsidRPr="003A12F4">
        <w:rPr>
          <w:color w:val="000000"/>
          <w:sz w:val="17"/>
          <w:szCs w:val="17"/>
        </w:rPr>
        <w:t>in the context of an IP</w:t>
      </w:r>
      <w:r w:rsidR="003A12F4" w:rsidRPr="0071272C">
        <w:rPr>
          <w:color w:val="000000"/>
          <w:sz w:val="17"/>
          <w:szCs w:val="17"/>
        </w:rPr>
        <w:t>P</w:t>
      </w:r>
      <w:r w:rsidR="002018F7" w:rsidRPr="0071272C">
        <w:rPr>
          <w:color w:val="000000"/>
          <w:sz w:val="17"/>
          <w:szCs w:val="17"/>
        </w:rPr>
        <w:t>’s</w:t>
      </w:r>
      <w:r w:rsidR="003A12F4" w:rsidRPr="003A12F4">
        <w:rPr>
          <w:color w:val="000000"/>
          <w:sz w:val="17"/>
          <w:szCs w:val="17"/>
        </w:rPr>
        <w:t xml:space="preserve"> ability to apply the PCG. </w:t>
      </w:r>
    </w:p>
    <w:p w14:paraId="6F9D7A7D" w14:textId="77777777" w:rsidR="00A52B1F" w:rsidRDefault="00A52B1F" w:rsidP="00C551B2">
      <w:pPr>
        <w:adjustRightInd w:val="0"/>
        <w:snapToGrid w:val="0"/>
        <w:spacing w:line="276" w:lineRule="auto"/>
        <w:rPr>
          <w:b/>
          <w:color w:val="000000"/>
          <w:sz w:val="17"/>
          <w:szCs w:val="17"/>
        </w:rPr>
      </w:pPr>
    </w:p>
    <w:p w14:paraId="07710BD1" w14:textId="6D65ACA5" w:rsidR="00A52B1F" w:rsidRDefault="00A52B1F" w:rsidP="00C551B2">
      <w:pPr>
        <w:adjustRightInd w:val="0"/>
        <w:snapToGrid w:val="0"/>
        <w:spacing w:line="276" w:lineRule="auto"/>
        <w:rPr>
          <w:color w:val="000000"/>
          <w:sz w:val="17"/>
          <w:szCs w:val="17"/>
        </w:rPr>
      </w:pPr>
      <w:r w:rsidRPr="00A52B1F">
        <w:rPr>
          <w:color w:val="000000"/>
          <w:sz w:val="17"/>
          <w:szCs w:val="17"/>
        </w:rPr>
        <w:t xml:space="preserve">This </w:t>
      </w:r>
      <w:r>
        <w:rPr>
          <w:color w:val="000000"/>
          <w:sz w:val="17"/>
          <w:szCs w:val="17"/>
        </w:rPr>
        <w:t xml:space="preserve">checklist is prepared to assist </w:t>
      </w:r>
      <w:r w:rsidR="002018F7">
        <w:rPr>
          <w:color w:val="000000"/>
          <w:sz w:val="17"/>
          <w:szCs w:val="17"/>
        </w:rPr>
        <w:t xml:space="preserve">your </w:t>
      </w:r>
      <w:r w:rsidR="002018F7" w:rsidRPr="00485A08">
        <w:rPr>
          <w:color w:val="000000"/>
          <w:sz w:val="17"/>
          <w:szCs w:val="17"/>
        </w:rPr>
        <w:t xml:space="preserve">consideration </w:t>
      </w:r>
      <w:r w:rsidR="002018F7" w:rsidRPr="0071272C">
        <w:rPr>
          <w:color w:val="000000"/>
          <w:sz w:val="17"/>
          <w:szCs w:val="17"/>
        </w:rPr>
        <w:t>a</w:t>
      </w:r>
      <w:r w:rsidR="003A12F4" w:rsidRPr="0071272C">
        <w:rPr>
          <w:color w:val="000000"/>
          <w:sz w:val="17"/>
          <w:szCs w:val="17"/>
        </w:rPr>
        <w:t>s</w:t>
      </w:r>
      <w:r w:rsidR="003A12F4" w:rsidRPr="00485A08">
        <w:rPr>
          <w:color w:val="000000"/>
          <w:sz w:val="17"/>
          <w:szCs w:val="17"/>
        </w:rPr>
        <w:t xml:space="preserve"> to whether the PCG applies and </w:t>
      </w:r>
      <w:r w:rsidR="00485A08" w:rsidRPr="00485A08">
        <w:rPr>
          <w:color w:val="000000"/>
          <w:sz w:val="17"/>
          <w:szCs w:val="17"/>
        </w:rPr>
        <w:t xml:space="preserve">determine the </w:t>
      </w:r>
      <w:r w:rsidR="003A12F4" w:rsidRPr="00485A08">
        <w:rPr>
          <w:color w:val="000000"/>
          <w:sz w:val="17"/>
          <w:szCs w:val="17"/>
        </w:rPr>
        <w:t>risk rating</w:t>
      </w:r>
      <w:r w:rsidR="00154B05" w:rsidRPr="00485A08">
        <w:rPr>
          <w:color w:val="000000"/>
          <w:sz w:val="17"/>
          <w:szCs w:val="17"/>
        </w:rPr>
        <w:t xml:space="preserve"> of an IPP and </w:t>
      </w:r>
      <w:r w:rsidR="00485A08" w:rsidRPr="00485A08">
        <w:rPr>
          <w:color w:val="000000"/>
          <w:sz w:val="17"/>
          <w:szCs w:val="17"/>
        </w:rPr>
        <w:t>their</w:t>
      </w:r>
      <w:r w:rsidR="00154B05" w:rsidRPr="00485A08">
        <w:rPr>
          <w:color w:val="000000"/>
          <w:sz w:val="17"/>
          <w:szCs w:val="17"/>
        </w:rPr>
        <w:t xml:space="preserve"> </w:t>
      </w:r>
      <w:r w:rsidR="00AD5590" w:rsidRPr="0071272C">
        <w:rPr>
          <w:color w:val="000000"/>
          <w:sz w:val="17"/>
          <w:szCs w:val="17"/>
        </w:rPr>
        <w:t>arrangement</w:t>
      </w:r>
      <w:r w:rsidR="00AD5590" w:rsidRPr="00485A08">
        <w:rPr>
          <w:color w:val="000000"/>
          <w:sz w:val="17"/>
          <w:szCs w:val="17"/>
        </w:rPr>
        <w:t>. It</w:t>
      </w:r>
      <w:r w:rsidR="003A12F4" w:rsidRPr="00485A08">
        <w:rPr>
          <w:color w:val="000000"/>
          <w:sz w:val="17"/>
          <w:szCs w:val="17"/>
        </w:rPr>
        <w:t xml:space="preserve"> could form part of the</w:t>
      </w:r>
      <w:r w:rsidR="003A12F4">
        <w:rPr>
          <w:color w:val="000000"/>
          <w:sz w:val="17"/>
          <w:szCs w:val="17"/>
        </w:rPr>
        <w:t xml:space="preserve"> documentation required by the ATO</w:t>
      </w:r>
      <w:r w:rsidR="00485A08">
        <w:rPr>
          <w:color w:val="000000"/>
          <w:sz w:val="17"/>
          <w:szCs w:val="17"/>
        </w:rPr>
        <w:t xml:space="preserve"> but is </w:t>
      </w:r>
      <w:r w:rsidR="003A12F4">
        <w:rPr>
          <w:color w:val="000000"/>
          <w:sz w:val="17"/>
          <w:szCs w:val="17"/>
        </w:rPr>
        <w:t xml:space="preserve">not </w:t>
      </w:r>
      <w:r w:rsidR="00A91624">
        <w:rPr>
          <w:color w:val="000000"/>
          <w:sz w:val="17"/>
          <w:szCs w:val="17"/>
        </w:rPr>
        <w:t xml:space="preserve">a </w:t>
      </w:r>
      <w:r w:rsidR="003A12F4">
        <w:rPr>
          <w:color w:val="000000"/>
          <w:sz w:val="17"/>
          <w:szCs w:val="17"/>
        </w:rPr>
        <w:t xml:space="preserve">complete </w:t>
      </w:r>
      <w:r w:rsidR="00485A08">
        <w:rPr>
          <w:color w:val="000000"/>
          <w:sz w:val="17"/>
          <w:szCs w:val="17"/>
        </w:rPr>
        <w:t>or</w:t>
      </w:r>
      <w:r w:rsidR="003A12F4">
        <w:rPr>
          <w:color w:val="000000"/>
          <w:sz w:val="17"/>
          <w:szCs w:val="17"/>
        </w:rPr>
        <w:t xml:space="preserve"> comprehensive set of documentation which will satisfy the ATO in the event of a review/audit. </w:t>
      </w:r>
      <w:r w:rsidR="00154B05">
        <w:rPr>
          <w:color w:val="000000"/>
          <w:sz w:val="17"/>
          <w:szCs w:val="17"/>
        </w:rPr>
        <w:t xml:space="preserve">You should be guided by the PCG in preparing such documentation but should include the following: </w:t>
      </w:r>
    </w:p>
    <w:p w14:paraId="16DF14E3" w14:textId="77777777" w:rsid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 xml:space="preserve">The nature of the arrangement </w:t>
      </w:r>
    </w:p>
    <w:p w14:paraId="073118A4" w14:textId="77777777" w:rsid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 xml:space="preserve">How Gateway 1 applies to the arrangement </w:t>
      </w:r>
    </w:p>
    <w:p w14:paraId="018B0CB2" w14:textId="77777777" w:rsid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 xml:space="preserve">How Gateway 2 does not apply to the arrangement </w:t>
      </w:r>
    </w:p>
    <w:p w14:paraId="4E72B638" w14:textId="77777777" w:rsid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How each risk factor is calculated</w:t>
      </w:r>
    </w:p>
    <w:p w14:paraId="21C56CF8" w14:textId="77777777" w:rsid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 xml:space="preserve">The total risk score and risk zone </w:t>
      </w:r>
    </w:p>
    <w:p w14:paraId="2DF2373E" w14:textId="77777777" w:rsidR="00154B05" w:rsidRPr="00154B05" w:rsidRDefault="00154B05" w:rsidP="00154B05">
      <w:pPr>
        <w:pStyle w:val="ListParagraph"/>
        <w:numPr>
          <w:ilvl w:val="0"/>
          <w:numId w:val="17"/>
        </w:numPr>
        <w:adjustRightInd w:val="0"/>
        <w:snapToGrid w:val="0"/>
        <w:spacing w:line="276" w:lineRule="auto"/>
        <w:rPr>
          <w:color w:val="000000"/>
          <w:sz w:val="17"/>
          <w:szCs w:val="17"/>
        </w:rPr>
      </w:pPr>
      <w:r>
        <w:rPr>
          <w:color w:val="000000"/>
          <w:sz w:val="17"/>
          <w:szCs w:val="17"/>
        </w:rPr>
        <w:t xml:space="preserve">Further action to be taken, if applicable. </w:t>
      </w:r>
    </w:p>
    <w:p w14:paraId="403E1480" w14:textId="77777777" w:rsidR="003A12F4" w:rsidRDefault="003A12F4" w:rsidP="00C551B2">
      <w:pPr>
        <w:adjustRightInd w:val="0"/>
        <w:snapToGrid w:val="0"/>
        <w:spacing w:line="276" w:lineRule="auto"/>
        <w:rPr>
          <w:color w:val="000000"/>
          <w:sz w:val="17"/>
          <w:szCs w:val="17"/>
        </w:rPr>
      </w:pPr>
    </w:p>
    <w:p w14:paraId="28A53736" w14:textId="41E59973" w:rsidR="003A12F4" w:rsidRDefault="003A12F4" w:rsidP="00C551B2">
      <w:pPr>
        <w:adjustRightInd w:val="0"/>
        <w:snapToGrid w:val="0"/>
        <w:spacing w:line="276" w:lineRule="auto"/>
        <w:rPr>
          <w:color w:val="000000"/>
          <w:sz w:val="17"/>
          <w:szCs w:val="17"/>
        </w:rPr>
      </w:pPr>
      <w:r>
        <w:rPr>
          <w:color w:val="000000"/>
          <w:sz w:val="17"/>
          <w:szCs w:val="17"/>
        </w:rPr>
        <w:t>The PCG is limited to risks associated with allocation of profits</w:t>
      </w:r>
      <w:r w:rsidR="00485A08">
        <w:rPr>
          <w:color w:val="000000"/>
          <w:sz w:val="17"/>
          <w:szCs w:val="17"/>
        </w:rPr>
        <w:t xml:space="preserve"> to IPPs</w:t>
      </w:r>
      <w:r>
        <w:rPr>
          <w:color w:val="000000"/>
          <w:sz w:val="17"/>
          <w:szCs w:val="17"/>
        </w:rPr>
        <w:t xml:space="preserve"> within professional firms. It does not </w:t>
      </w:r>
      <w:r w:rsidR="000F53D0">
        <w:rPr>
          <w:color w:val="000000"/>
          <w:sz w:val="17"/>
          <w:szCs w:val="17"/>
        </w:rPr>
        <w:t xml:space="preserve">cover </w:t>
      </w:r>
      <w:r>
        <w:rPr>
          <w:color w:val="000000"/>
          <w:sz w:val="17"/>
          <w:szCs w:val="17"/>
        </w:rPr>
        <w:t xml:space="preserve">other tax issues such as Division 7A. </w:t>
      </w:r>
    </w:p>
    <w:p w14:paraId="6543DBBF" w14:textId="77777777" w:rsidR="00FB05FC" w:rsidRDefault="00FB05FC" w:rsidP="00FB05FC">
      <w:pPr>
        <w:adjustRightInd w:val="0"/>
        <w:snapToGrid w:val="0"/>
        <w:spacing w:line="276" w:lineRule="auto"/>
        <w:rPr>
          <w:color w:val="000000"/>
          <w:sz w:val="17"/>
          <w:szCs w:val="17"/>
        </w:rPr>
      </w:pPr>
    </w:p>
    <w:p w14:paraId="77521303" w14:textId="77777777" w:rsidR="00FB05FC" w:rsidRDefault="00FB05FC" w:rsidP="00FB05FC">
      <w:pPr>
        <w:adjustRightInd w:val="0"/>
        <w:snapToGrid w:val="0"/>
        <w:spacing w:line="276" w:lineRule="auto"/>
        <w:rPr>
          <w:color w:val="000000"/>
          <w:sz w:val="17"/>
          <w:szCs w:val="17"/>
        </w:rPr>
      </w:pPr>
      <w:r w:rsidRPr="00FB05FC">
        <w:rPr>
          <w:color w:val="000000"/>
          <w:sz w:val="17"/>
          <w:szCs w:val="17"/>
        </w:rPr>
        <w:t>For pre-existing arrangements that pass the above gateways, the ATO’s 2015 suspended guidelines </w:t>
      </w:r>
      <w:r w:rsidRPr="00FB05FC">
        <w:rPr>
          <w:i/>
          <w:iCs/>
          <w:color w:val="000000"/>
          <w:sz w:val="17"/>
          <w:szCs w:val="17"/>
        </w:rPr>
        <w:t>Assessing the risk: allocation of profits within professional firms</w:t>
      </w:r>
      <w:r w:rsidRPr="00FB05FC">
        <w:rPr>
          <w:color w:val="000000"/>
          <w:sz w:val="17"/>
          <w:szCs w:val="17"/>
        </w:rPr>
        <w:t> apply from 1 July 2017 to 30 June 2022. Taxpayers whose arrangements were low risk under the suspended guidelines but have a higher risk rating under</w:t>
      </w:r>
      <w:r w:rsidR="00A91624">
        <w:rPr>
          <w:color w:val="000000"/>
          <w:sz w:val="17"/>
          <w:szCs w:val="17"/>
        </w:rPr>
        <w:t xml:space="preserve"> the</w:t>
      </w:r>
      <w:r w:rsidRPr="00FB05FC">
        <w:rPr>
          <w:color w:val="000000"/>
          <w:sz w:val="17"/>
          <w:szCs w:val="17"/>
        </w:rPr>
        <w:t> </w:t>
      </w:r>
      <w:bookmarkStart w:id="2" w:name="xamtg1Uio447044Pio447044sl12427644-xamtg"/>
      <w:bookmarkEnd w:id="2"/>
      <w:r w:rsidRPr="00FB05FC">
        <w:rPr>
          <w:color w:val="000000"/>
          <w:sz w:val="17"/>
          <w:szCs w:val="17"/>
        </w:rPr>
        <w:fldChar w:fldCharType="begin"/>
      </w:r>
      <w:r w:rsidRPr="00FB05FC">
        <w:rPr>
          <w:color w:val="000000"/>
          <w:sz w:val="17"/>
          <w:szCs w:val="17"/>
        </w:rPr>
        <w:instrText xml:space="preserve"> HYPERLINK "https://iknow.cch.com.au/resolve-citation/XAMTG1_HANDLE%20io3460671sl1312660229" </w:instrText>
      </w:r>
      <w:r w:rsidRPr="00FB05FC">
        <w:rPr>
          <w:color w:val="000000"/>
          <w:sz w:val="17"/>
          <w:szCs w:val="17"/>
        </w:rPr>
        <w:fldChar w:fldCharType="separate"/>
      </w:r>
      <w:r>
        <w:rPr>
          <w:rStyle w:val="Hyperlink"/>
          <w:sz w:val="17"/>
          <w:szCs w:val="17"/>
        </w:rPr>
        <w:t>PCG</w:t>
      </w:r>
      <w:r w:rsidRPr="00FB05FC">
        <w:rPr>
          <w:color w:val="000000"/>
          <w:sz w:val="17"/>
          <w:szCs w:val="17"/>
        </w:rPr>
        <w:fldChar w:fldCharType="end"/>
      </w:r>
      <w:r w:rsidRPr="00FB05FC">
        <w:rPr>
          <w:color w:val="000000"/>
          <w:sz w:val="17"/>
          <w:szCs w:val="17"/>
        </w:rPr>
        <w:t> can continue to apply the suspended guidelines until 30 June 2024.</w:t>
      </w:r>
    </w:p>
    <w:p w14:paraId="22B0581F" w14:textId="77777777" w:rsidR="00A52B1F" w:rsidRDefault="00A52B1F" w:rsidP="00C551B2">
      <w:pPr>
        <w:adjustRightInd w:val="0"/>
        <w:snapToGrid w:val="0"/>
        <w:spacing w:line="276" w:lineRule="auto"/>
        <w:rPr>
          <w:b/>
          <w:color w:val="000000"/>
          <w:sz w:val="17"/>
          <w:szCs w:val="17"/>
        </w:rPr>
      </w:pPr>
    </w:p>
    <w:p w14:paraId="623164D1" w14:textId="77777777" w:rsidR="00C551B2" w:rsidRPr="009B145E" w:rsidRDefault="00C551B2" w:rsidP="00C551B2">
      <w:pPr>
        <w:adjustRightInd w:val="0"/>
        <w:snapToGrid w:val="0"/>
        <w:spacing w:line="276" w:lineRule="auto"/>
        <w:rPr>
          <w:b/>
          <w:color w:val="000000"/>
          <w:sz w:val="17"/>
          <w:szCs w:val="17"/>
        </w:rPr>
      </w:pPr>
      <w:r w:rsidRPr="009B145E">
        <w:rPr>
          <w:b/>
          <w:color w:val="000000"/>
          <w:sz w:val="17"/>
          <w:szCs w:val="17"/>
        </w:rPr>
        <w:t>About the author</w:t>
      </w:r>
    </w:p>
    <w:p w14:paraId="1BF591AD" w14:textId="5A249BE9" w:rsidR="00C551B2" w:rsidRPr="009B145E" w:rsidRDefault="00C551B2" w:rsidP="00C551B2">
      <w:pPr>
        <w:adjustRightInd w:val="0"/>
        <w:snapToGrid w:val="0"/>
        <w:spacing w:line="276" w:lineRule="auto"/>
        <w:rPr>
          <w:color w:val="000000"/>
          <w:sz w:val="17"/>
          <w:szCs w:val="17"/>
        </w:rPr>
      </w:pPr>
      <w:r w:rsidRPr="009B145E">
        <w:rPr>
          <w:color w:val="000000"/>
          <w:sz w:val="17"/>
          <w:szCs w:val="17"/>
        </w:rPr>
        <w:t xml:space="preserve">This checklist was prepared by </w:t>
      </w:r>
      <w:r>
        <w:rPr>
          <w:color w:val="000000"/>
          <w:sz w:val="17"/>
          <w:szCs w:val="17"/>
        </w:rPr>
        <w:t>Hall Chadwick (NSW) Pty Ltd</w:t>
      </w:r>
      <w:r w:rsidRPr="009B145E">
        <w:rPr>
          <w:color w:val="000000"/>
          <w:sz w:val="17"/>
          <w:szCs w:val="17"/>
        </w:rPr>
        <w:t xml:space="preserve"> on behalf of CPA Australia.</w:t>
      </w:r>
      <w:r w:rsidR="00A91624">
        <w:rPr>
          <w:color w:val="000000"/>
          <w:sz w:val="17"/>
          <w:szCs w:val="17"/>
        </w:rPr>
        <w:t xml:space="preserve">  Direct extracts from the ATO’s PCG 2021/4 have been used in preparing this checklist</w:t>
      </w:r>
      <w:r w:rsidR="00AD5590">
        <w:rPr>
          <w:color w:val="000000"/>
          <w:sz w:val="17"/>
          <w:szCs w:val="17"/>
        </w:rPr>
        <w:t>.</w:t>
      </w:r>
      <w:r w:rsidR="00A91624">
        <w:rPr>
          <w:color w:val="000000"/>
          <w:sz w:val="17"/>
          <w:szCs w:val="17"/>
        </w:rPr>
        <w:t xml:space="preserve"> </w:t>
      </w:r>
    </w:p>
    <w:p w14:paraId="36E254F8" w14:textId="77777777" w:rsidR="00C551B2" w:rsidRDefault="00C551B2" w:rsidP="00C551B2">
      <w:pPr>
        <w:adjustRightInd w:val="0"/>
        <w:snapToGrid w:val="0"/>
        <w:spacing w:line="276" w:lineRule="auto"/>
        <w:rPr>
          <w:b/>
          <w:color w:val="000000"/>
          <w:sz w:val="17"/>
          <w:szCs w:val="17"/>
        </w:rPr>
      </w:pPr>
    </w:p>
    <w:p w14:paraId="23E26DA3" w14:textId="77777777" w:rsidR="00C551B2" w:rsidRPr="00ED2CD8" w:rsidRDefault="00C551B2" w:rsidP="00C551B2">
      <w:pPr>
        <w:adjustRightInd w:val="0"/>
        <w:snapToGrid w:val="0"/>
        <w:spacing w:line="276" w:lineRule="auto"/>
        <w:rPr>
          <w:b/>
          <w:color w:val="000000"/>
          <w:sz w:val="17"/>
          <w:szCs w:val="17"/>
        </w:rPr>
      </w:pPr>
      <w:r w:rsidRPr="00ED2CD8">
        <w:rPr>
          <w:b/>
          <w:color w:val="000000"/>
          <w:sz w:val="17"/>
          <w:szCs w:val="17"/>
        </w:rPr>
        <w:t>Disclaimer</w:t>
      </w:r>
    </w:p>
    <w:p w14:paraId="4094BAE4" w14:textId="4BDC8693" w:rsidR="00AC761F" w:rsidRDefault="00C551B2" w:rsidP="00C551B2">
      <w:pPr>
        <w:rPr>
          <w:color w:val="000000"/>
          <w:sz w:val="17"/>
          <w:szCs w:val="17"/>
        </w:rPr>
      </w:pPr>
      <w:r w:rsidRPr="00ED2CD8">
        <w:rPr>
          <w:color w:val="000000"/>
          <w:sz w:val="17"/>
          <w:szCs w:val="17"/>
        </w:rPr>
        <w:t xml:space="preserve">CPA Australia and the authors have used reasonable care and skill in compiling the content of this material. However, CPA Australia and the authors make no warranty as to the accuracy or completeness of any information in these </w:t>
      </w:r>
      <w:r w:rsidRPr="00ED2CD8">
        <w:rPr>
          <w:color w:val="000000"/>
          <w:sz w:val="17"/>
          <w:szCs w:val="17"/>
        </w:rPr>
        <w:lastRenderedPageBreak/>
        <w:t>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w:t>
      </w:r>
      <w:r w:rsidR="0069614B">
        <w:rPr>
          <w:color w:val="000000"/>
          <w:sz w:val="17"/>
          <w:szCs w:val="17"/>
        </w:rPr>
        <w:t>.</w:t>
      </w:r>
    </w:p>
    <w:p w14:paraId="24D28AE8" w14:textId="77777777" w:rsidR="00AC761F" w:rsidRDefault="00AC761F">
      <w:pPr>
        <w:spacing w:after="160" w:line="259" w:lineRule="auto"/>
        <w:rPr>
          <w:color w:val="000000"/>
          <w:sz w:val="17"/>
          <w:szCs w:val="17"/>
        </w:rPr>
      </w:pPr>
      <w:r>
        <w:rPr>
          <w:color w:val="000000"/>
          <w:sz w:val="17"/>
          <w:szCs w:val="17"/>
        </w:rPr>
        <w:br w:type="page"/>
      </w:r>
    </w:p>
    <w:tbl>
      <w:tblPr>
        <w:tblW w:w="10490"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56"/>
        <w:gridCol w:w="567"/>
        <w:gridCol w:w="567"/>
      </w:tblGrid>
      <w:tr w:rsidR="00AC761F" w:rsidRPr="00841A33" w14:paraId="0D1C0860" w14:textId="77777777" w:rsidTr="000A5BA4">
        <w:tc>
          <w:tcPr>
            <w:tcW w:w="9356" w:type="dxa"/>
            <w:tcBorders>
              <w:bottom w:val="single" w:sz="4" w:space="0" w:color="939598"/>
            </w:tcBorders>
            <w:shd w:val="clear" w:color="auto" w:fill="051C3C"/>
          </w:tcPr>
          <w:p w14:paraId="3C27A419" w14:textId="77777777" w:rsidR="00AC761F" w:rsidRPr="00841A33" w:rsidRDefault="00AC761F" w:rsidP="00AC761F">
            <w:pPr>
              <w:pStyle w:val="Tableheading"/>
              <w:spacing w:before="100" w:after="100"/>
              <w:rPr>
                <w:sz w:val="18"/>
                <w:szCs w:val="18"/>
              </w:rPr>
            </w:pPr>
            <w:r>
              <w:rPr>
                <w:sz w:val="18"/>
                <w:szCs w:val="18"/>
              </w:rPr>
              <w:lastRenderedPageBreak/>
              <w:t>1</w:t>
            </w:r>
            <w:r w:rsidRPr="00841A33">
              <w:rPr>
                <w:sz w:val="18"/>
                <w:szCs w:val="18"/>
              </w:rPr>
              <w:t xml:space="preserve">. </w:t>
            </w:r>
            <w:r>
              <w:rPr>
                <w:sz w:val="18"/>
                <w:szCs w:val="18"/>
              </w:rPr>
              <w:t xml:space="preserve">Does the PCG apply to your arrangement? </w:t>
            </w:r>
          </w:p>
        </w:tc>
        <w:tc>
          <w:tcPr>
            <w:tcW w:w="567" w:type="dxa"/>
            <w:tcBorders>
              <w:bottom w:val="single" w:sz="4" w:space="0" w:color="939598"/>
            </w:tcBorders>
            <w:shd w:val="clear" w:color="auto" w:fill="051C3C"/>
          </w:tcPr>
          <w:p w14:paraId="57CF274D" w14:textId="77777777" w:rsidR="00AC761F" w:rsidRPr="00841A33" w:rsidRDefault="00AC761F" w:rsidP="000A5BA4">
            <w:pPr>
              <w:pStyle w:val="Tableheading"/>
              <w:spacing w:before="100" w:after="100"/>
              <w:jc w:val="center"/>
              <w:rPr>
                <w:sz w:val="18"/>
                <w:szCs w:val="18"/>
              </w:rPr>
            </w:pPr>
            <w:r w:rsidRPr="00841A33">
              <w:rPr>
                <w:sz w:val="18"/>
                <w:szCs w:val="18"/>
              </w:rPr>
              <w:t>Yes</w:t>
            </w:r>
          </w:p>
        </w:tc>
        <w:tc>
          <w:tcPr>
            <w:tcW w:w="567" w:type="dxa"/>
            <w:tcBorders>
              <w:bottom w:val="single" w:sz="4" w:space="0" w:color="939598"/>
            </w:tcBorders>
            <w:shd w:val="clear" w:color="auto" w:fill="051C3C"/>
          </w:tcPr>
          <w:p w14:paraId="4123951B" w14:textId="77777777" w:rsidR="00AC761F" w:rsidRPr="00841A33" w:rsidRDefault="00AC761F" w:rsidP="000A5BA4">
            <w:pPr>
              <w:pStyle w:val="Tableheading"/>
              <w:spacing w:before="100" w:after="100"/>
              <w:jc w:val="center"/>
              <w:rPr>
                <w:sz w:val="18"/>
                <w:szCs w:val="18"/>
              </w:rPr>
            </w:pPr>
            <w:r w:rsidRPr="00841A33">
              <w:rPr>
                <w:sz w:val="18"/>
                <w:szCs w:val="18"/>
              </w:rPr>
              <w:t>No</w:t>
            </w:r>
          </w:p>
        </w:tc>
      </w:tr>
      <w:tr w:rsidR="00AC761F" w:rsidRPr="00841A33" w14:paraId="5E81D8BC" w14:textId="77777777" w:rsidTr="000A5BA4">
        <w:tc>
          <w:tcPr>
            <w:tcW w:w="9356" w:type="dxa"/>
            <w:tcBorders>
              <w:top w:val="nil"/>
              <w:bottom w:val="single" w:sz="4" w:space="0" w:color="939598"/>
            </w:tcBorders>
          </w:tcPr>
          <w:p w14:paraId="0779FD01" w14:textId="77777777" w:rsidR="00AC761F" w:rsidRDefault="00AC761F" w:rsidP="000A5BA4">
            <w:pPr>
              <w:pStyle w:val="Table"/>
              <w:spacing w:before="100" w:after="100"/>
              <w:rPr>
                <w:sz w:val="18"/>
                <w:szCs w:val="18"/>
              </w:rPr>
            </w:pPr>
            <w:r>
              <w:rPr>
                <w:sz w:val="18"/>
                <w:szCs w:val="18"/>
              </w:rPr>
              <w:t>The PCG will only apply to your arrangement if all of the following criteria are met:</w:t>
            </w:r>
          </w:p>
          <w:p w14:paraId="6DEBD6B1" w14:textId="77777777" w:rsidR="00AC761F" w:rsidRDefault="00AC761F" w:rsidP="00AC761F">
            <w:pPr>
              <w:pStyle w:val="Table"/>
              <w:numPr>
                <w:ilvl w:val="0"/>
                <w:numId w:val="3"/>
              </w:numPr>
              <w:spacing w:before="100" w:after="100"/>
              <w:rPr>
                <w:sz w:val="18"/>
                <w:szCs w:val="18"/>
              </w:rPr>
            </w:pPr>
            <w:r>
              <w:rPr>
                <w:sz w:val="18"/>
                <w:szCs w:val="18"/>
              </w:rPr>
              <w:t>An individual professional practitioner (IPP) provides professional services to clients of the firm or is actively involved in the management of the firm and, in either case, the IPP and/or associated entities have a legal or beneficial interest in the firm</w:t>
            </w:r>
            <w:r w:rsidR="00154B05">
              <w:rPr>
                <w:sz w:val="18"/>
                <w:szCs w:val="18"/>
              </w:rPr>
              <w:t>;</w:t>
            </w:r>
          </w:p>
          <w:p w14:paraId="0B984182" w14:textId="77777777" w:rsidR="00AC761F" w:rsidRDefault="00AC761F" w:rsidP="00AC761F">
            <w:pPr>
              <w:pStyle w:val="Table"/>
              <w:numPr>
                <w:ilvl w:val="0"/>
                <w:numId w:val="3"/>
              </w:numPr>
              <w:spacing w:before="100" w:after="100"/>
              <w:rPr>
                <w:sz w:val="18"/>
                <w:szCs w:val="18"/>
              </w:rPr>
            </w:pPr>
            <w:r>
              <w:rPr>
                <w:sz w:val="18"/>
                <w:szCs w:val="18"/>
              </w:rPr>
              <w:t>The income of the firm is not subject to personal services income (PSI) rules</w:t>
            </w:r>
            <w:r w:rsidR="00154B05">
              <w:rPr>
                <w:sz w:val="18"/>
                <w:szCs w:val="18"/>
              </w:rPr>
              <w:t>;</w:t>
            </w:r>
            <w:r>
              <w:rPr>
                <w:sz w:val="18"/>
                <w:szCs w:val="18"/>
              </w:rPr>
              <w:t xml:space="preserve"> </w:t>
            </w:r>
          </w:p>
          <w:p w14:paraId="6B15DFC8" w14:textId="77777777" w:rsidR="00AC761F" w:rsidRDefault="00AC761F" w:rsidP="00AC761F">
            <w:pPr>
              <w:pStyle w:val="Table"/>
              <w:numPr>
                <w:ilvl w:val="0"/>
                <w:numId w:val="3"/>
              </w:numPr>
              <w:spacing w:before="100" w:after="100"/>
              <w:rPr>
                <w:sz w:val="18"/>
                <w:szCs w:val="18"/>
              </w:rPr>
            </w:pPr>
            <w:r>
              <w:rPr>
                <w:sz w:val="18"/>
                <w:szCs w:val="18"/>
              </w:rPr>
              <w:t xml:space="preserve">The firm operates by way of a legally-effective structure, for example, partnership, </w:t>
            </w:r>
            <w:r w:rsidR="003A12F4">
              <w:rPr>
                <w:sz w:val="18"/>
                <w:szCs w:val="18"/>
              </w:rPr>
              <w:t>trusts</w:t>
            </w:r>
            <w:r>
              <w:rPr>
                <w:sz w:val="18"/>
                <w:szCs w:val="18"/>
              </w:rPr>
              <w:t xml:space="preserve"> and/or companies</w:t>
            </w:r>
            <w:r w:rsidR="00154B05">
              <w:rPr>
                <w:sz w:val="18"/>
                <w:szCs w:val="18"/>
              </w:rPr>
              <w:t>; and</w:t>
            </w:r>
            <w:r>
              <w:rPr>
                <w:sz w:val="18"/>
                <w:szCs w:val="18"/>
              </w:rPr>
              <w:t xml:space="preserve"> </w:t>
            </w:r>
          </w:p>
          <w:p w14:paraId="4136E767" w14:textId="77777777" w:rsidR="00AC761F" w:rsidRDefault="00AC761F" w:rsidP="00AC761F">
            <w:pPr>
              <w:pStyle w:val="Table"/>
              <w:numPr>
                <w:ilvl w:val="0"/>
                <w:numId w:val="3"/>
              </w:numPr>
              <w:spacing w:before="100" w:after="100"/>
              <w:rPr>
                <w:sz w:val="18"/>
                <w:szCs w:val="18"/>
              </w:rPr>
            </w:pPr>
            <w:r>
              <w:rPr>
                <w:sz w:val="18"/>
                <w:szCs w:val="18"/>
              </w:rPr>
              <w:t>The IPP is an equity holder, directly or through an associated entity</w:t>
            </w:r>
          </w:p>
          <w:p w14:paraId="72583C0C" w14:textId="77777777" w:rsidR="00AC761F" w:rsidRPr="000003D7" w:rsidRDefault="00AC761F" w:rsidP="000A5BA4">
            <w:pPr>
              <w:pStyle w:val="Table"/>
              <w:spacing w:before="100" w:after="100"/>
              <w:rPr>
                <w:sz w:val="18"/>
                <w:szCs w:val="18"/>
              </w:rPr>
            </w:pPr>
            <w:r w:rsidRPr="000003D7">
              <w:rPr>
                <w:sz w:val="18"/>
                <w:szCs w:val="18"/>
              </w:rPr>
              <w:t>If the answer is yes</w:t>
            </w:r>
            <w:r>
              <w:rPr>
                <w:sz w:val="18"/>
                <w:szCs w:val="18"/>
              </w:rPr>
              <w:t xml:space="preserve"> to all of the above</w:t>
            </w:r>
            <w:r w:rsidRPr="000003D7">
              <w:rPr>
                <w:sz w:val="18"/>
                <w:szCs w:val="18"/>
              </w:rPr>
              <w:t xml:space="preserve">, </w:t>
            </w:r>
            <w:r>
              <w:rPr>
                <w:sz w:val="18"/>
                <w:szCs w:val="18"/>
              </w:rPr>
              <w:t xml:space="preserve">the PCG </w:t>
            </w:r>
            <w:r w:rsidRPr="000003D7">
              <w:rPr>
                <w:sz w:val="18"/>
                <w:szCs w:val="18"/>
              </w:rPr>
              <w:t>can potentially apply</w:t>
            </w:r>
            <w:r w:rsidR="00154B05">
              <w:rPr>
                <w:sz w:val="18"/>
                <w:szCs w:val="18"/>
              </w:rPr>
              <w:t xml:space="preserve"> to your arrangement</w:t>
            </w:r>
            <w:r w:rsidRPr="000003D7">
              <w:rPr>
                <w:sz w:val="18"/>
                <w:szCs w:val="18"/>
              </w:rPr>
              <w:t xml:space="preserve">. Continue to </w:t>
            </w:r>
            <w:r>
              <w:rPr>
                <w:sz w:val="18"/>
                <w:szCs w:val="18"/>
              </w:rPr>
              <w:t>question 2</w:t>
            </w:r>
            <w:r w:rsidRPr="000003D7">
              <w:rPr>
                <w:sz w:val="18"/>
                <w:szCs w:val="18"/>
              </w:rPr>
              <w:t>.</w:t>
            </w:r>
          </w:p>
          <w:p w14:paraId="3E048C33" w14:textId="77777777" w:rsidR="00AC761F" w:rsidRPr="00841A33" w:rsidRDefault="00AC761F" w:rsidP="00A91624">
            <w:pPr>
              <w:pStyle w:val="Table"/>
              <w:spacing w:before="100" w:after="100"/>
              <w:rPr>
                <w:sz w:val="18"/>
                <w:szCs w:val="18"/>
              </w:rPr>
            </w:pPr>
            <w:r>
              <w:rPr>
                <w:sz w:val="18"/>
                <w:szCs w:val="18"/>
              </w:rPr>
              <w:t xml:space="preserve">If </w:t>
            </w:r>
            <w:r w:rsidR="00A91624">
              <w:rPr>
                <w:sz w:val="18"/>
                <w:szCs w:val="18"/>
              </w:rPr>
              <w:t xml:space="preserve">an </w:t>
            </w:r>
            <w:r>
              <w:rPr>
                <w:sz w:val="18"/>
                <w:szCs w:val="18"/>
              </w:rPr>
              <w:t xml:space="preserve">answer </w:t>
            </w:r>
            <w:r w:rsidR="00A91624">
              <w:rPr>
                <w:sz w:val="18"/>
                <w:szCs w:val="18"/>
              </w:rPr>
              <w:t xml:space="preserve">to any of the above questions </w:t>
            </w:r>
            <w:r>
              <w:rPr>
                <w:sz w:val="18"/>
                <w:szCs w:val="18"/>
              </w:rPr>
              <w:t>is no, the PCG does not apply to your arrangement</w:t>
            </w:r>
            <w:r w:rsidR="00154B05">
              <w:rPr>
                <w:sz w:val="18"/>
                <w:szCs w:val="18"/>
              </w:rPr>
              <w:t>, and</w:t>
            </w:r>
            <w:r>
              <w:rPr>
                <w:sz w:val="18"/>
                <w:szCs w:val="18"/>
              </w:rPr>
              <w:t xml:space="preserve"> </w:t>
            </w:r>
            <w:r w:rsidR="00154B05">
              <w:rPr>
                <w:sz w:val="18"/>
                <w:szCs w:val="18"/>
              </w:rPr>
              <w:t xml:space="preserve">it </w:t>
            </w:r>
            <w:r>
              <w:rPr>
                <w:sz w:val="18"/>
                <w:szCs w:val="18"/>
              </w:rPr>
              <w:t>will not be protected by the terms of the PCG.</w:t>
            </w:r>
            <w:r w:rsidRPr="00EF0FA4">
              <w:rPr>
                <w:sz w:val="18"/>
                <w:szCs w:val="18"/>
              </w:rPr>
              <w:t xml:space="preserve"> </w:t>
            </w:r>
          </w:p>
        </w:tc>
        <w:tc>
          <w:tcPr>
            <w:tcW w:w="567" w:type="dxa"/>
            <w:tcBorders>
              <w:top w:val="single" w:sz="4" w:space="0" w:color="939598"/>
              <w:left w:val="single" w:sz="4" w:space="0" w:color="939598"/>
              <w:bottom w:val="single" w:sz="4" w:space="0" w:color="939598"/>
              <w:right w:val="single" w:sz="4" w:space="0" w:color="939598"/>
            </w:tcBorders>
            <w:vAlign w:val="center"/>
          </w:tcPr>
          <w:p w14:paraId="4F835379" w14:textId="77777777" w:rsidR="00AC761F" w:rsidRPr="00841A33" w:rsidRDefault="00AC761F"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7C2625B7" w14:textId="77777777" w:rsidR="00AC761F" w:rsidRPr="00841A33" w:rsidRDefault="00AC761F" w:rsidP="000A5BA4">
            <w:pPr>
              <w:pStyle w:val="Table"/>
              <w:spacing w:before="100" w:after="100"/>
              <w:jc w:val="center"/>
              <w:rPr>
                <w:rFonts w:cs="Arial"/>
                <w:sz w:val="18"/>
                <w:szCs w:val="18"/>
              </w:rPr>
            </w:pPr>
          </w:p>
        </w:tc>
      </w:tr>
      <w:tr w:rsidR="00AC761F" w:rsidRPr="00841A33" w14:paraId="4BC07D6B" w14:textId="77777777" w:rsidTr="00AC761F">
        <w:tc>
          <w:tcPr>
            <w:tcW w:w="9356" w:type="dxa"/>
            <w:tcBorders>
              <w:top w:val="nil"/>
              <w:left w:val="single" w:sz="4" w:space="0" w:color="C0C0C0"/>
              <w:bottom w:val="single" w:sz="4" w:space="0" w:color="939598"/>
              <w:right w:val="single" w:sz="4" w:space="0" w:color="C0C0C0"/>
            </w:tcBorders>
            <w:shd w:val="clear" w:color="auto" w:fill="051C3C"/>
          </w:tcPr>
          <w:p w14:paraId="36649CDB" w14:textId="77777777" w:rsidR="00AC761F" w:rsidRPr="00841A33" w:rsidRDefault="00AC761F" w:rsidP="00AC761F">
            <w:pPr>
              <w:pStyle w:val="Table"/>
              <w:rPr>
                <w:sz w:val="18"/>
                <w:szCs w:val="18"/>
              </w:rPr>
            </w:pPr>
            <w:r>
              <w:rPr>
                <w:sz w:val="18"/>
                <w:szCs w:val="18"/>
              </w:rPr>
              <w:t>2. Does your arrangement satisfy Gateway 1</w:t>
            </w:r>
            <w:r w:rsidR="007C5DE5">
              <w:rPr>
                <w:sz w:val="18"/>
                <w:szCs w:val="18"/>
              </w:rPr>
              <w:t xml:space="preserve">: Commercial rationale </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4CE2615D" w14:textId="77777777" w:rsidR="00AC761F" w:rsidRPr="00AC761F" w:rsidRDefault="00AC761F" w:rsidP="00AC761F">
            <w:pPr>
              <w:pStyle w:val="Table"/>
              <w:rPr>
                <w:rFonts w:cs="Arial"/>
                <w:sz w:val="18"/>
                <w:szCs w:val="18"/>
              </w:rPr>
            </w:pPr>
            <w:r w:rsidRPr="00AC761F">
              <w:rPr>
                <w:rFonts w:cs="Arial"/>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23BE0487" w14:textId="77777777" w:rsidR="00AC761F" w:rsidRPr="00AC761F" w:rsidRDefault="00AC761F" w:rsidP="00AC761F">
            <w:pPr>
              <w:pStyle w:val="Table"/>
              <w:rPr>
                <w:rFonts w:cs="Arial"/>
                <w:sz w:val="18"/>
                <w:szCs w:val="18"/>
              </w:rPr>
            </w:pPr>
            <w:r w:rsidRPr="00AC761F">
              <w:rPr>
                <w:rFonts w:cs="Arial"/>
                <w:sz w:val="18"/>
                <w:szCs w:val="18"/>
              </w:rPr>
              <w:t>No</w:t>
            </w:r>
          </w:p>
        </w:tc>
      </w:tr>
      <w:tr w:rsidR="00AC761F" w:rsidRPr="00841A33" w14:paraId="16AD12F7" w14:textId="77777777" w:rsidTr="00AC761F">
        <w:tc>
          <w:tcPr>
            <w:tcW w:w="9356" w:type="dxa"/>
            <w:tcBorders>
              <w:top w:val="nil"/>
              <w:left w:val="single" w:sz="4" w:space="0" w:color="C0C0C0"/>
              <w:bottom w:val="single" w:sz="4" w:space="0" w:color="939598"/>
              <w:right w:val="single" w:sz="4" w:space="0" w:color="C0C0C0"/>
            </w:tcBorders>
          </w:tcPr>
          <w:p w14:paraId="32984B90" w14:textId="77777777" w:rsidR="0044159B" w:rsidRDefault="0044159B" w:rsidP="000A5BA4">
            <w:pPr>
              <w:pStyle w:val="Table"/>
              <w:spacing w:before="100" w:after="100"/>
              <w:rPr>
                <w:sz w:val="18"/>
                <w:szCs w:val="18"/>
              </w:rPr>
            </w:pPr>
            <w:r>
              <w:rPr>
                <w:sz w:val="18"/>
                <w:szCs w:val="18"/>
              </w:rPr>
              <w:t>Gateway 1 considers whether the arrangement and the way in which it operates are commercially driven. The ATO recommends the answ</w:t>
            </w:r>
            <w:r w:rsidR="007C5DE5">
              <w:rPr>
                <w:sz w:val="18"/>
                <w:szCs w:val="18"/>
              </w:rPr>
              <w:t>ers to the below be documented:</w:t>
            </w:r>
          </w:p>
          <w:p w14:paraId="1797970D" w14:textId="77777777" w:rsidR="0044159B" w:rsidRDefault="0044159B" w:rsidP="0044159B">
            <w:pPr>
              <w:pStyle w:val="Table"/>
              <w:numPr>
                <w:ilvl w:val="0"/>
                <w:numId w:val="4"/>
              </w:numPr>
              <w:spacing w:before="100" w:after="100"/>
              <w:rPr>
                <w:sz w:val="18"/>
                <w:szCs w:val="18"/>
              </w:rPr>
            </w:pPr>
            <w:r>
              <w:rPr>
                <w:sz w:val="18"/>
                <w:szCs w:val="18"/>
              </w:rPr>
              <w:t xml:space="preserve">Is there a genuine commercial rationale for the arrangement for all parties involved? Does the arrangement achieve that end? </w:t>
            </w:r>
          </w:p>
          <w:p w14:paraId="2D8A88FE" w14:textId="77777777" w:rsidR="0044159B" w:rsidRDefault="0044159B" w:rsidP="0044159B">
            <w:pPr>
              <w:pStyle w:val="Table"/>
              <w:numPr>
                <w:ilvl w:val="0"/>
                <w:numId w:val="4"/>
              </w:numPr>
              <w:spacing w:before="100" w:after="100"/>
              <w:rPr>
                <w:sz w:val="18"/>
                <w:szCs w:val="18"/>
              </w:rPr>
            </w:pPr>
            <w:r>
              <w:rPr>
                <w:sz w:val="18"/>
                <w:szCs w:val="18"/>
              </w:rPr>
              <w:t>Is there evidence that the stated commercial purpose was achieve</w:t>
            </w:r>
            <w:r w:rsidR="00A91624">
              <w:rPr>
                <w:sz w:val="18"/>
                <w:szCs w:val="18"/>
              </w:rPr>
              <w:t>d</w:t>
            </w:r>
            <w:r>
              <w:rPr>
                <w:sz w:val="18"/>
                <w:szCs w:val="18"/>
              </w:rPr>
              <w:t xml:space="preserve"> as a result of the arrangement? For example, where “asset protection” is the commercial purpose, the arrangement must improve asset protection. </w:t>
            </w:r>
          </w:p>
          <w:p w14:paraId="36B645C0" w14:textId="77777777" w:rsidR="0044159B" w:rsidRDefault="0044159B" w:rsidP="0044159B">
            <w:pPr>
              <w:pStyle w:val="Table"/>
              <w:numPr>
                <w:ilvl w:val="0"/>
                <w:numId w:val="4"/>
              </w:numPr>
              <w:spacing w:before="100" w:after="100"/>
              <w:rPr>
                <w:sz w:val="18"/>
                <w:szCs w:val="18"/>
              </w:rPr>
            </w:pPr>
            <w:r>
              <w:rPr>
                <w:sz w:val="18"/>
                <w:szCs w:val="18"/>
              </w:rPr>
              <w:t>Where the arrangement is not straightforward or commercial, is there a commercial rationale for this?</w:t>
            </w:r>
          </w:p>
          <w:p w14:paraId="099EA98D" w14:textId="77777777" w:rsidR="0044159B" w:rsidRDefault="0044159B" w:rsidP="0044159B">
            <w:pPr>
              <w:pStyle w:val="Table"/>
              <w:numPr>
                <w:ilvl w:val="0"/>
                <w:numId w:val="4"/>
              </w:numPr>
              <w:spacing w:before="100" w:after="100"/>
              <w:rPr>
                <w:sz w:val="18"/>
                <w:szCs w:val="18"/>
              </w:rPr>
            </w:pPr>
            <w:r>
              <w:rPr>
                <w:sz w:val="18"/>
                <w:szCs w:val="18"/>
              </w:rPr>
              <w:t xml:space="preserve">Is the legal form and documentation of the arrangement consistent with its economic substance and how the firm operates in practice? </w:t>
            </w:r>
          </w:p>
          <w:p w14:paraId="26DB2EB0" w14:textId="203C9F61" w:rsidR="0044159B" w:rsidRDefault="0044159B" w:rsidP="0044159B">
            <w:pPr>
              <w:pStyle w:val="Table"/>
              <w:numPr>
                <w:ilvl w:val="0"/>
                <w:numId w:val="4"/>
              </w:numPr>
              <w:spacing w:before="100" w:after="100"/>
              <w:rPr>
                <w:sz w:val="18"/>
                <w:szCs w:val="18"/>
              </w:rPr>
            </w:pPr>
            <w:r>
              <w:rPr>
                <w:sz w:val="18"/>
                <w:szCs w:val="18"/>
              </w:rPr>
              <w:t xml:space="preserve">When the arrangement is considered in its entirety, </w:t>
            </w:r>
            <w:r w:rsidR="000F53D0">
              <w:rPr>
                <w:sz w:val="18"/>
                <w:szCs w:val="18"/>
              </w:rPr>
              <w:t>are</w:t>
            </w:r>
            <w:r>
              <w:rPr>
                <w:sz w:val="18"/>
                <w:szCs w:val="18"/>
              </w:rPr>
              <w:t xml:space="preserve"> there non-tax related practical changes in addition to a change in tax performance?</w:t>
            </w:r>
          </w:p>
          <w:p w14:paraId="419ACCB6" w14:textId="77777777" w:rsidR="0044159B" w:rsidRDefault="0044159B" w:rsidP="0044159B">
            <w:pPr>
              <w:pStyle w:val="Table"/>
              <w:numPr>
                <w:ilvl w:val="0"/>
                <w:numId w:val="4"/>
              </w:numPr>
              <w:spacing w:before="100" w:after="100"/>
              <w:rPr>
                <w:sz w:val="18"/>
                <w:szCs w:val="18"/>
              </w:rPr>
            </w:pPr>
            <w:r>
              <w:rPr>
                <w:sz w:val="18"/>
                <w:szCs w:val="18"/>
              </w:rPr>
              <w:t xml:space="preserve">Is there a genuine commercial basis for the way in which profits are distributed between the IPP and related parties, especially in the form of remuneration paid? </w:t>
            </w:r>
            <w:r w:rsidR="00C91950">
              <w:rPr>
                <w:sz w:val="18"/>
                <w:szCs w:val="18"/>
              </w:rPr>
              <w:t>Relevant considerations are:</w:t>
            </w:r>
          </w:p>
          <w:p w14:paraId="6AAC337D" w14:textId="77777777" w:rsidR="00C91950" w:rsidRDefault="00C91950" w:rsidP="00C91950">
            <w:pPr>
              <w:pStyle w:val="Table"/>
              <w:numPr>
                <w:ilvl w:val="1"/>
                <w:numId w:val="4"/>
              </w:numPr>
              <w:spacing w:before="100" w:after="100"/>
              <w:rPr>
                <w:sz w:val="18"/>
                <w:szCs w:val="18"/>
              </w:rPr>
            </w:pPr>
            <w:r>
              <w:rPr>
                <w:sz w:val="18"/>
                <w:szCs w:val="18"/>
              </w:rPr>
              <w:t>The IPP actually receives an amount of profits/income which reflects a reward for their personal efforts or skill and reflects an appropriate return for the services they provide;</w:t>
            </w:r>
          </w:p>
          <w:p w14:paraId="6B40264A" w14:textId="77777777" w:rsidR="00C91950" w:rsidRDefault="00C91950" w:rsidP="00C91950">
            <w:pPr>
              <w:pStyle w:val="Table"/>
              <w:numPr>
                <w:ilvl w:val="1"/>
                <w:numId w:val="4"/>
              </w:numPr>
              <w:spacing w:before="100" w:after="100"/>
              <w:rPr>
                <w:sz w:val="18"/>
                <w:szCs w:val="18"/>
              </w:rPr>
            </w:pPr>
            <w:r>
              <w:rPr>
                <w:sz w:val="18"/>
                <w:szCs w:val="18"/>
              </w:rPr>
              <w:t xml:space="preserve">The </w:t>
            </w:r>
            <w:r w:rsidR="007C5DE5">
              <w:rPr>
                <w:sz w:val="18"/>
                <w:szCs w:val="18"/>
              </w:rPr>
              <w:t xml:space="preserve">income of the </w:t>
            </w:r>
            <w:r>
              <w:rPr>
                <w:sz w:val="18"/>
                <w:szCs w:val="18"/>
              </w:rPr>
              <w:t>IPP</w:t>
            </w:r>
            <w:r w:rsidR="007C5DE5">
              <w:rPr>
                <w:sz w:val="18"/>
                <w:szCs w:val="18"/>
              </w:rPr>
              <w:t xml:space="preserve"> </w:t>
            </w:r>
            <w:r>
              <w:rPr>
                <w:sz w:val="18"/>
                <w:szCs w:val="18"/>
              </w:rPr>
              <w:t>in a given period is linked to their personal performance in that period;</w:t>
            </w:r>
          </w:p>
          <w:p w14:paraId="1709C398" w14:textId="77777777" w:rsidR="00C91950" w:rsidRDefault="00C91950" w:rsidP="00C91950">
            <w:pPr>
              <w:pStyle w:val="Table"/>
              <w:numPr>
                <w:ilvl w:val="1"/>
                <w:numId w:val="4"/>
              </w:numPr>
              <w:spacing w:before="100" w:after="100"/>
              <w:rPr>
                <w:sz w:val="18"/>
                <w:szCs w:val="18"/>
              </w:rPr>
            </w:pPr>
            <w:r>
              <w:rPr>
                <w:sz w:val="18"/>
                <w:szCs w:val="18"/>
              </w:rPr>
              <w:t>The income to the IPP ha</w:t>
            </w:r>
            <w:r w:rsidR="00020DEC">
              <w:rPr>
                <w:sz w:val="18"/>
                <w:szCs w:val="18"/>
              </w:rPr>
              <w:t>s been distributed in substance</w:t>
            </w:r>
            <w:r w:rsidR="007C5DE5">
              <w:rPr>
                <w:sz w:val="18"/>
                <w:szCs w:val="18"/>
              </w:rPr>
              <w:t xml:space="preserve"> to the IPP</w:t>
            </w:r>
            <w:r w:rsidR="00020DEC">
              <w:rPr>
                <w:sz w:val="18"/>
                <w:szCs w:val="18"/>
              </w:rPr>
              <w:t xml:space="preserve">, and the income of the related party has </w:t>
            </w:r>
            <w:r w:rsidR="007C5DE5">
              <w:rPr>
                <w:sz w:val="18"/>
                <w:szCs w:val="18"/>
              </w:rPr>
              <w:t xml:space="preserve">also </w:t>
            </w:r>
            <w:r w:rsidR="00020DEC">
              <w:rPr>
                <w:sz w:val="18"/>
                <w:szCs w:val="18"/>
              </w:rPr>
              <w:t>been distributed in substance</w:t>
            </w:r>
            <w:r w:rsidR="007C5DE5">
              <w:rPr>
                <w:sz w:val="18"/>
                <w:szCs w:val="18"/>
              </w:rPr>
              <w:t xml:space="preserve"> to that relate</w:t>
            </w:r>
            <w:r w:rsidR="00A91624">
              <w:rPr>
                <w:sz w:val="18"/>
                <w:szCs w:val="18"/>
              </w:rPr>
              <w:t>d</w:t>
            </w:r>
            <w:r w:rsidR="007C5DE5">
              <w:rPr>
                <w:sz w:val="18"/>
                <w:szCs w:val="18"/>
              </w:rPr>
              <w:t xml:space="preserve"> party</w:t>
            </w:r>
          </w:p>
          <w:p w14:paraId="6CA16878" w14:textId="77777777" w:rsidR="00C91950" w:rsidRDefault="00C91950" w:rsidP="00020DEC">
            <w:pPr>
              <w:pStyle w:val="Table"/>
              <w:numPr>
                <w:ilvl w:val="1"/>
                <w:numId w:val="4"/>
              </w:numPr>
              <w:spacing w:before="100" w:after="100"/>
              <w:rPr>
                <w:sz w:val="18"/>
                <w:szCs w:val="18"/>
              </w:rPr>
            </w:pPr>
            <w:r>
              <w:rPr>
                <w:sz w:val="18"/>
                <w:szCs w:val="18"/>
              </w:rPr>
              <w:t>The IPP ultimately benefit</w:t>
            </w:r>
            <w:r w:rsidR="00A91624">
              <w:rPr>
                <w:sz w:val="18"/>
                <w:szCs w:val="18"/>
              </w:rPr>
              <w:t>s</w:t>
            </w:r>
            <w:r>
              <w:rPr>
                <w:sz w:val="18"/>
                <w:szCs w:val="18"/>
              </w:rPr>
              <w:t xml:space="preserve"> from the distribution of income to associated entities</w:t>
            </w:r>
            <w:r w:rsidR="00020DEC">
              <w:rPr>
                <w:sz w:val="18"/>
                <w:szCs w:val="18"/>
              </w:rPr>
              <w:t xml:space="preserve"> where the distribution </w:t>
            </w:r>
            <w:r w:rsidR="00A91624">
              <w:rPr>
                <w:sz w:val="18"/>
                <w:szCs w:val="18"/>
              </w:rPr>
              <w:t xml:space="preserve">to </w:t>
            </w:r>
            <w:r w:rsidR="00020DEC">
              <w:rPr>
                <w:sz w:val="18"/>
                <w:szCs w:val="18"/>
              </w:rPr>
              <w:t xml:space="preserve">the related party is </w:t>
            </w:r>
            <w:r>
              <w:rPr>
                <w:sz w:val="18"/>
                <w:szCs w:val="18"/>
              </w:rPr>
              <w:t>referable to the personal efforts or skills of the IPP</w:t>
            </w:r>
          </w:p>
          <w:p w14:paraId="0731C406" w14:textId="77777777" w:rsidR="00A91624" w:rsidRDefault="00A91624" w:rsidP="00C91950">
            <w:pPr>
              <w:pStyle w:val="Table"/>
              <w:numPr>
                <w:ilvl w:val="1"/>
                <w:numId w:val="4"/>
              </w:numPr>
              <w:spacing w:before="100" w:after="100"/>
              <w:rPr>
                <w:sz w:val="18"/>
                <w:szCs w:val="18"/>
              </w:rPr>
            </w:pPr>
            <w:r>
              <w:rPr>
                <w:sz w:val="18"/>
                <w:szCs w:val="18"/>
              </w:rPr>
              <w:t>The remuneration to the IPP is commercial and comparable to arm’s length payments</w:t>
            </w:r>
          </w:p>
          <w:p w14:paraId="1B39DA8C" w14:textId="77777777" w:rsidR="00C91950" w:rsidRDefault="00020DEC" w:rsidP="00C91950">
            <w:pPr>
              <w:pStyle w:val="Table"/>
              <w:numPr>
                <w:ilvl w:val="1"/>
                <w:numId w:val="4"/>
              </w:numPr>
              <w:spacing w:before="100" w:after="100"/>
              <w:rPr>
                <w:sz w:val="18"/>
                <w:szCs w:val="18"/>
              </w:rPr>
            </w:pPr>
            <w:r>
              <w:rPr>
                <w:sz w:val="18"/>
                <w:szCs w:val="18"/>
              </w:rPr>
              <w:t>There are no loan accounts relevant to the arrangement;</w:t>
            </w:r>
          </w:p>
          <w:p w14:paraId="1581E176" w14:textId="77777777" w:rsidR="00020DEC" w:rsidRDefault="00020DEC" w:rsidP="00C91950">
            <w:pPr>
              <w:pStyle w:val="Table"/>
              <w:numPr>
                <w:ilvl w:val="1"/>
                <w:numId w:val="4"/>
              </w:numPr>
              <w:spacing w:before="100" w:after="100"/>
              <w:rPr>
                <w:sz w:val="18"/>
                <w:szCs w:val="18"/>
              </w:rPr>
            </w:pPr>
            <w:r>
              <w:rPr>
                <w:sz w:val="18"/>
                <w:szCs w:val="18"/>
              </w:rPr>
              <w:t xml:space="preserve">The related party receiving profits has control of the cash distributed to them, and has use and enjoyment of the cash, and this is not predominantly for the IPP’s use and enjoyment. </w:t>
            </w:r>
          </w:p>
          <w:p w14:paraId="32B332FA" w14:textId="77777777" w:rsidR="0044159B" w:rsidRDefault="0044159B" w:rsidP="000A5BA4">
            <w:pPr>
              <w:pStyle w:val="Table"/>
              <w:spacing w:before="100" w:after="100"/>
              <w:rPr>
                <w:sz w:val="18"/>
                <w:szCs w:val="18"/>
              </w:rPr>
            </w:pPr>
          </w:p>
          <w:p w14:paraId="1FB762C2" w14:textId="77777777" w:rsidR="00AC761F" w:rsidRPr="000003D7" w:rsidRDefault="007C5DE5" w:rsidP="000A5BA4">
            <w:pPr>
              <w:pStyle w:val="Table"/>
              <w:spacing w:before="100" w:after="100"/>
              <w:rPr>
                <w:sz w:val="18"/>
                <w:szCs w:val="18"/>
              </w:rPr>
            </w:pPr>
            <w:r>
              <w:rPr>
                <w:sz w:val="18"/>
                <w:szCs w:val="18"/>
              </w:rPr>
              <w:t>If the answers to the above is yes</w:t>
            </w:r>
            <w:r w:rsidR="00AC761F" w:rsidRPr="000003D7">
              <w:rPr>
                <w:sz w:val="18"/>
                <w:szCs w:val="18"/>
              </w:rPr>
              <w:t xml:space="preserve">, </w:t>
            </w:r>
            <w:r>
              <w:rPr>
                <w:sz w:val="18"/>
                <w:szCs w:val="18"/>
              </w:rPr>
              <w:t xml:space="preserve">the PCG </w:t>
            </w:r>
            <w:r w:rsidR="00AC761F" w:rsidRPr="000003D7">
              <w:rPr>
                <w:sz w:val="18"/>
                <w:szCs w:val="18"/>
              </w:rPr>
              <w:t xml:space="preserve">can potentially apply. Continue to </w:t>
            </w:r>
            <w:r>
              <w:rPr>
                <w:sz w:val="18"/>
                <w:szCs w:val="18"/>
              </w:rPr>
              <w:t>question 3</w:t>
            </w:r>
            <w:r w:rsidR="00AC761F" w:rsidRPr="000003D7">
              <w:rPr>
                <w:sz w:val="18"/>
                <w:szCs w:val="18"/>
              </w:rPr>
              <w:t>.</w:t>
            </w:r>
          </w:p>
          <w:p w14:paraId="59548052" w14:textId="77777777" w:rsidR="00AC761F" w:rsidRPr="00841A33" w:rsidRDefault="007C5DE5" w:rsidP="00A91624">
            <w:pPr>
              <w:pStyle w:val="Table"/>
              <w:spacing w:before="100" w:after="100"/>
              <w:rPr>
                <w:sz w:val="18"/>
                <w:szCs w:val="18"/>
              </w:rPr>
            </w:pPr>
            <w:r>
              <w:rPr>
                <w:sz w:val="18"/>
                <w:szCs w:val="18"/>
              </w:rPr>
              <w:t xml:space="preserve">If the answers are no, the PCG </w:t>
            </w:r>
            <w:r w:rsidR="00A91624">
              <w:rPr>
                <w:sz w:val="18"/>
                <w:szCs w:val="18"/>
              </w:rPr>
              <w:t xml:space="preserve">may </w:t>
            </w:r>
            <w:r w:rsidR="00154B05">
              <w:rPr>
                <w:sz w:val="18"/>
                <w:szCs w:val="18"/>
              </w:rPr>
              <w:t>not apply to your arrangement, and it</w:t>
            </w:r>
            <w:r>
              <w:rPr>
                <w:sz w:val="18"/>
                <w:szCs w:val="18"/>
              </w:rPr>
              <w:t xml:space="preserve"> </w:t>
            </w:r>
            <w:r w:rsidR="00A91624">
              <w:rPr>
                <w:sz w:val="18"/>
                <w:szCs w:val="18"/>
              </w:rPr>
              <w:t xml:space="preserve">may </w:t>
            </w:r>
            <w:r>
              <w:rPr>
                <w:sz w:val="18"/>
                <w:szCs w:val="18"/>
              </w:rPr>
              <w:t>not be protected by the terms of the PCG.</w:t>
            </w:r>
            <w:r w:rsidRPr="00EF0FA4">
              <w:rPr>
                <w:sz w:val="18"/>
                <w:szCs w:val="18"/>
              </w:rPr>
              <w:t xml:space="preserve"> </w:t>
            </w:r>
          </w:p>
        </w:tc>
        <w:tc>
          <w:tcPr>
            <w:tcW w:w="567" w:type="dxa"/>
            <w:tcBorders>
              <w:top w:val="single" w:sz="4" w:space="0" w:color="939598"/>
              <w:left w:val="single" w:sz="4" w:space="0" w:color="939598"/>
              <w:bottom w:val="single" w:sz="4" w:space="0" w:color="939598"/>
              <w:right w:val="single" w:sz="4" w:space="0" w:color="939598"/>
            </w:tcBorders>
            <w:vAlign w:val="center"/>
          </w:tcPr>
          <w:p w14:paraId="19CBAD72" w14:textId="77777777" w:rsidR="00AC761F" w:rsidRPr="00841A33" w:rsidRDefault="00AC761F"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35C9B838" w14:textId="77777777" w:rsidR="00AC761F" w:rsidRPr="00841A33" w:rsidRDefault="00AC761F" w:rsidP="000A5BA4">
            <w:pPr>
              <w:pStyle w:val="Table"/>
              <w:spacing w:before="100" w:after="100"/>
              <w:jc w:val="center"/>
              <w:rPr>
                <w:rFonts w:cs="Arial"/>
                <w:sz w:val="18"/>
                <w:szCs w:val="18"/>
              </w:rPr>
            </w:pPr>
          </w:p>
        </w:tc>
      </w:tr>
      <w:tr w:rsidR="00AC761F" w:rsidRPr="00AC761F" w14:paraId="6FEC2733" w14:textId="77777777" w:rsidTr="00AC761F">
        <w:tc>
          <w:tcPr>
            <w:tcW w:w="9356" w:type="dxa"/>
            <w:tcBorders>
              <w:top w:val="nil"/>
              <w:left w:val="single" w:sz="4" w:space="0" w:color="C0C0C0"/>
              <w:bottom w:val="single" w:sz="4" w:space="0" w:color="939598"/>
              <w:right w:val="single" w:sz="4" w:space="0" w:color="C0C0C0"/>
            </w:tcBorders>
            <w:shd w:val="clear" w:color="auto" w:fill="051C3C"/>
          </w:tcPr>
          <w:p w14:paraId="08BD4050" w14:textId="77777777" w:rsidR="00AC761F" w:rsidRPr="00841A33" w:rsidRDefault="00AC761F" w:rsidP="00AC761F">
            <w:pPr>
              <w:pStyle w:val="Table"/>
              <w:spacing w:before="100" w:after="100"/>
              <w:rPr>
                <w:sz w:val="18"/>
                <w:szCs w:val="18"/>
              </w:rPr>
            </w:pPr>
            <w:r>
              <w:rPr>
                <w:sz w:val="18"/>
                <w:szCs w:val="18"/>
              </w:rPr>
              <w:t xml:space="preserve">3. Does your arrangement </w:t>
            </w:r>
            <w:r w:rsidR="007C5DE5">
              <w:rPr>
                <w:sz w:val="18"/>
                <w:szCs w:val="18"/>
              </w:rPr>
              <w:t xml:space="preserve">satisfy Gateway 2: High Risk features </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5F58E17A" w14:textId="77777777" w:rsidR="00AC761F" w:rsidRPr="00AC761F" w:rsidRDefault="00AC761F" w:rsidP="00AC761F">
            <w:pPr>
              <w:pStyle w:val="Table"/>
              <w:spacing w:before="100" w:after="100"/>
              <w:jc w:val="center"/>
              <w:rPr>
                <w:rFonts w:cs="Arial"/>
                <w:sz w:val="18"/>
                <w:szCs w:val="18"/>
              </w:rPr>
            </w:pPr>
            <w:r w:rsidRPr="00AC761F">
              <w:rPr>
                <w:rFonts w:cs="Arial"/>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6FCEE9CC" w14:textId="77777777" w:rsidR="00AC761F" w:rsidRPr="00AC761F" w:rsidRDefault="00AC761F" w:rsidP="00AC761F">
            <w:pPr>
              <w:pStyle w:val="Table"/>
              <w:spacing w:before="100" w:after="100"/>
              <w:jc w:val="center"/>
              <w:rPr>
                <w:rFonts w:cs="Arial"/>
                <w:sz w:val="18"/>
                <w:szCs w:val="18"/>
              </w:rPr>
            </w:pPr>
            <w:r w:rsidRPr="00AC761F">
              <w:rPr>
                <w:rFonts w:cs="Arial"/>
                <w:sz w:val="18"/>
                <w:szCs w:val="18"/>
              </w:rPr>
              <w:t>No</w:t>
            </w:r>
          </w:p>
        </w:tc>
      </w:tr>
      <w:tr w:rsidR="00AC761F" w:rsidRPr="00841A33" w14:paraId="672736F3" w14:textId="77777777" w:rsidTr="00AC761F">
        <w:tc>
          <w:tcPr>
            <w:tcW w:w="9356" w:type="dxa"/>
            <w:tcBorders>
              <w:top w:val="nil"/>
              <w:left w:val="single" w:sz="4" w:space="0" w:color="C0C0C0"/>
              <w:bottom w:val="single" w:sz="4" w:space="0" w:color="939598"/>
              <w:right w:val="single" w:sz="4" w:space="0" w:color="C0C0C0"/>
            </w:tcBorders>
          </w:tcPr>
          <w:p w14:paraId="51A8C58A" w14:textId="507C6C5A" w:rsidR="007C5DE5" w:rsidRDefault="007C5DE5" w:rsidP="000A5BA4">
            <w:pPr>
              <w:pStyle w:val="Table"/>
              <w:spacing w:before="100" w:after="100"/>
              <w:rPr>
                <w:sz w:val="18"/>
                <w:szCs w:val="18"/>
              </w:rPr>
            </w:pPr>
            <w:r>
              <w:rPr>
                <w:sz w:val="18"/>
                <w:szCs w:val="18"/>
              </w:rPr>
              <w:t xml:space="preserve">Where an arrangement demonstrates high-risk features, the PCG does not apply. High risk features includes any arrangement covered by a Taxpayer Alert. Does your IPP arrangement have the following </w:t>
            </w:r>
            <w:r w:rsidR="00FF754B">
              <w:rPr>
                <w:sz w:val="18"/>
                <w:szCs w:val="18"/>
              </w:rPr>
              <w:t>high-risk</w:t>
            </w:r>
            <w:r>
              <w:rPr>
                <w:sz w:val="18"/>
                <w:szCs w:val="18"/>
              </w:rPr>
              <w:t xml:space="preserve"> features?</w:t>
            </w:r>
          </w:p>
          <w:p w14:paraId="52AF1C45" w14:textId="77777777" w:rsidR="00E8397C" w:rsidRDefault="007C5DE5" w:rsidP="000A5BA4">
            <w:pPr>
              <w:pStyle w:val="Table"/>
              <w:numPr>
                <w:ilvl w:val="0"/>
                <w:numId w:val="5"/>
              </w:numPr>
              <w:spacing w:before="100" w:after="100"/>
              <w:rPr>
                <w:sz w:val="18"/>
                <w:szCs w:val="18"/>
              </w:rPr>
            </w:pPr>
            <w:r w:rsidRPr="00E8397C">
              <w:rPr>
                <w:sz w:val="18"/>
                <w:szCs w:val="18"/>
              </w:rPr>
              <w:t xml:space="preserve">Financing arrangements relating to </w:t>
            </w:r>
            <w:r w:rsidR="00E8397C" w:rsidRPr="00E8397C">
              <w:rPr>
                <w:sz w:val="18"/>
                <w:szCs w:val="18"/>
              </w:rPr>
              <w:t>non-arm’s</w:t>
            </w:r>
            <w:r w:rsidRPr="00E8397C">
              <w:rPr>
                <w:sz w:val="18"/>
                <w:szCs w:val="18"/>
              </w:rPr>
              <w:t xml:space="preserve"> length transactions</w:t>
            </w:r>
            <w:r w:rsidR="00E8397C" w:rsidRPr="00E8397C">
              <w:rPr>
                <w:sz w:val="18"/>
                <w:szCs w:val="18"/>
              </w:rPr>
              <w:t xml:space="preserve">. The ATO does not accept there is a commercial purpose when an associated entity of an IPP utilises finance to acquire an existing portion of the IPP’s equity interest in a professional firm. </w:t>
            </w:r>
            <w:r w:rsidR="00E8397C">
              <w:rPr>
                <w:sz w:val="18"/>
                <w:szCs w:val="18"/>
              </w:rPr>
              <w:t xml:space="preserve">Financing arrangements involving associated entities that give rise to tax benefits are considered high risk. </w:t>
            </w:r>
          </w:p>
          <w:p w14:paraId="22DC5471" w14:textId="77777777" w:rsidR="007C5DE5" w:rsidRPr="00E8397C" w:rsidRDefault="00E8397C" w:rsidP="00E8397C">
            <w:pPr>
              <w:pStyle w:val="Table"/>
              <w:spacing w:before="100" w:after="100"/>
              <w:ind w:left="720"/>
              <w:rPr>
                <w:sz w:val="16"/>
                <w:szCs w:val="16"/>
              </w:rPr>
            </w:pPr>
            <w:r w:rsidRPr="00E8397C">
              <w:rPr>
                <w:sz w:val="16"/>
                <w:szCs w:val="16"/>
              </w:rPr>
              <w:lastRenderedPageBreak/>
              <w:t>E</w:t>
            </w:r>
            <w:r w:rsidR="007C5DE5" w:rsidRPr="00E8397C">
              <w:rPr>
                <w:sz w:val="16"/>
                <w:szCs w:val="16"/>
              </w:rPr>
              <w:t>xample</w:t>
            </w:r>
            <w:r w:rsidRPr="00E8397C">
              <w:rPr>
                <w:sz w:val="16"/>
                <w:szCs w:val="16"/>
              </w:rPr>
              <w:t>: An IPP disposes of a portion of their interest in a professional firm to an associated discretionary trust which borrows money from a bank to pay for the transaction. The borrowing is secured and guaranteed by the IPP as an individual. The trust obtains a deduction for the interest paid on the borrowing. The IPP uses the money received from the trust for the interest in the firm to pay off mortgage debt on their primary residence. The effect of this financing arrangement is to convert non-deductible debt to deductible debt through the use of a non-arm's length transaction.</w:t>
            </w:r>
          </w:p>
          <w:p w14:paraId="79A03090" w14:textId="01083F3C" w:rsidR="007C5DE5" w:rsidRDefault="007C5DE5" w:rsidP="007C5DE5">
            <w:pPr>
              <w:pStyle w:val="Table"/>
              <w:numPr>
                <w:ilvl w:val="0"/>
                <w:numId w:val="5"/>
              </w:numPr>
              <w:spacing w:before="100" w:after="100"/>
              <w:rPr>
                <w:sz w:val="18"/>
                <w:szCs w:val="18"/>
              </w:rPr>
            </w:pPr>
            <w:r>
              <w:rPr>
                <w:sz w:val="18"/>
                <w:szCs w:val="18"/>
              </w:rPr>
              <w:t>Exploitation of the difference between accounting standards and tax law</w:t>
            </w:r>
            <w:r w:rsidR="00E8397C">
              <w:rPr>
                <w:sz w:val="18"/>
                <w:szCs w:val="18"/>
              </w:rPr>
              <w:t xml:space="preserve">, which results in income assessed to individuals or businesses that pay little or no tax while allowing others to enjoy economic benefits. Work in progress and employee leave provisions is not a </w:t>
            </w:r>
            <w:r w:rsidR="00FF754B">
              <w:rPr>
                <w:sz w:val="18"/>
                <w:szCs w:val="18"/>
              </w:rPr>
              <w:t>high-risk</w:t>
            </w:r>
            <w:r w:rsidR="00E8397C">
              <w:rPr>
                <w:sz w:val="18"/>
                <w:szCs w:val="18"/>
              </w:rPr>
              <w:t xml:space="preserve"> feature under this factor. </w:t>
            </w:r>
          </w:p>
          <w:p w14:paraId="11740963" w14:textId="77777777" w:rsidR="00E8397C" w:rsidRPr="00E8397C" w:rsidRDefault="00E8397C" w:rsidP="00E8397C">
            <w:pPr>
              <w:pStyle w:val="Table"/>
              <w:spacing w:before="100" w:after="100"/>
              <w:ind w:left="720"/>
              <w:rPr>
                <w:sz w:val="16"/>
                <w:szCs w:val="16"/>
              </w:rPr>
            </w:pPr>
            <w:r w:rsidRPr="00E8397C">
              <w:rPr>
                <w:sz w:val="16"/>
                <w:szCs w:val="16"/>
              </w:rPr>
              <w:t xml:space="preserve">Example: </w:t>
            </w:r>
            <w:r w:rsidRPr="00E8397C">
              <w:rPr>
                <w:iCs/>
                <w:sz w:val="16"/>
                <w:szCs w:val="16"/>
              </w:rPr>
              <w:t>An IPP may utilise the different treatment between accounting and tax for amortising an intangible asset (for example, the assigned portion of the IPP's interest in the firm). Pursuant to accounting standards, the intangible asset should be tested for impairment or amortisation each year. Where the book cost exceeds the net realisable value, the asset should be impaired. The impairment or amortisation is a non-cash accounting expense and does not give rise to a tax deduction. This will likely generate a situation where there is a difference (not otherwise being a temporary difference) between the taxable income, the accounting income and the cash available for distribution resulting in the ability to distribute the taxable income to certain entities, with the cash being distributed by other means to other entities.</w:t>
            </w:r>
          </w:p>
          <w:p w14:paraId="2B98E538" w14:textId="27E1A3CA" w:rsidR="00FB05FC" w:rsidRPr="00FB05FC" w:rsidRDefault="007C5DE5" w:rsidP="00FB05FC">
            <w:pPr>
              <w:pStyle w:val="Table"/>
              <w:numPr>
                <w:ilvl w:val="0"/>
                <w:numId w:val="5"/>
              </w:numPr>
              <w:spacing w:before="100" w:after="100"/>
              <w:rPr>
                <w:sz w:val="18"/>
                <w:szCs w:val="18"/>
              </w:rPr>
            </w:pPr>
            <w:r w:rsidRPr="00FB05FC">
              <w:rPr>
                <w:sz w:val="18"/>
                <w:szCs w:val="18"/>
              </w:rPr>
              <w:t>Arrangements where a partner assigns a portion of a partnership interest that is materially different in princip</w:t>
            </w:r>
            <w:r w:rsidR="00FF754B">
              <w:rPr>
                <w:sz w:val="18"/>
                <w:szCs w:val="18"/>
              </w:rPr>
              <w:t>le</w:t>
            </w:r>
            <w:r w:rsidRPr="00FB05FC">
              <w:rPr>
                <w:sz w:val="18"/>
                <w:szCs w:val="18"/>
              </w:rPr>
              <w:t xml:space="preserve"> </w:t>
            </w:r>
            <w:r w:rsidR="00E8397C" w:rsidRPr="00FB05FC">
              <w:rPr>
                <w:sz w:val="18"/>
                <w:szCs w:val="18"/>
              </w:rPr>
              <w:t xml:space="preserve">from </w:t>
            </w:r>
            <w:r w:rsidR="00E8397C" w:rsidRPr="00FB05FC">
              <w:rPr>
                <w:i/>
                <w:sz w:val="18"/>
                <w:szCs w:val="18"/>
              </w:rPr>
              <w:t>Everett</w:t>
            </w:r>
            <w:r w:rsidR="00E8397C" w:rsidRPr="00FB05FC">
              <w:rPr>
                <w:sz w:val="18"/>
                <w:szCs w:val="18"/>
              </w:rPr>
              <w:t xml:space="preserve"> and </w:t>
            </w:r>
            <w:r w:rsidR="00E8397C" w:rsidRPr="00FB05FC">
              <w:rPr>
                <w:i/>
                <w:sz w:val="18"/>
                <w:szCs w:val="18"/>
              </w:rPr>
              <w:t>Galland</w:t>
            </w:r>
            <w:r w:rsidR="00E8397C" w:rsidRPr="00FB05FC">
              <w:rPr>
                <w:sz w:val="18"/>
                <w:szCs w:val="18"/>
              </w:rPr>
              <w:t xml:space="preserve">. </w:t>
            </w:r>
            <w:r w:rsidR="00FB05FC" w:rsidRPr="00FB05FC">
              <w:rPr>
                <w:sz w:val="18"/>
                <w:szCs w:val="18"/>
              </w:rPr>
              <w:t xml:space="preserve">In </w:t>
            </w:r>
            <w:r w:rsidR="00FB05FC" w:rsidRPr="00FB05FC">
              <w:rPr>
                <w:i/>
                <w:sz w:val="18"/>
                <w:szCs w:val="18"/>
              </w:rPr>
              <w:t>Everett</w:t>
            </w:r>
            <w:r w:rsidR="00FB05FC" w:rsidRPr="00FB05FC">
              <w:rPr>
                <w:sz w:val="18"/>
                <w:szCs w:val="18"/>
              </w:rPr>
              <w:t xml:space="preserve"> and </w:t>
            </w:r>
            <w:r w:rsidR="00FB05FC" w:rsidRPr="00FB05FC">
              <w:rPr>
                <w:i/>
                <w:sz w:val="18"/>
                <w:szCs w:val="18"/>
              </w:rPr>
              <w:t>Galland</w:t>
            </w:r>
            <w:r w:rsidR="00FB05FC" w:rsidRPr="00FB05FC">
              <w:rPr>
                <w:sz w:val="18"/>
                <w:szCs w:val="18"/>
              </w:rPr>
              <w:t>, the courts held a partner could reduce income tax on profits from a partnership by assigning an interest (or part of an interest) in a partnership to another entity that is subject to a lower tax rate. The Commissioner considers the following arrangements to be materially different in principle to </w:t>
            </w:r>
            <w:r w:rsidR="00FB05FC" w:rsidRPr="00FB05FC">
              <w:rPr>
                <w:i/>
                <w:iCs/>
                <w:sz w:val="18"/>
                <w:szCs w:val="18"/>
              </w:rPr>
              <w:t>Everett</w:t>
            </w:r>
            <w:r w:rsidR="00FB05FC" w:rsidRPr="00FB05FC">
              <w:rPr>
                <w:sz w:val="18"/>
                <w:szCs w:val="18"/>
              </w:rPr>
              <w:t> and </w:t>
            </w:r>
            <w:r w:rsidR="00FB05FC" w:rsidRPr="00FB05FC">
              <w:rPr>
                <w:i/>
                <w:iCs/>
                <w:sz w:val="18"/>
                <w:szCs w:val="18"/>
              </w:rPr>
              <w:t>Galland</w:t>
            </w:r>
            <w:r w:rsidR="00FB05FC" w:rsidRPr="00FB05FC">
              <w:rPr>
                <w:sz w:val="18"/>
                <w:szCs w:val="18"/>
              </w:rPr>
              <w:t> where a partner assigns a portion of their partnership interest:</w:t>
            </w:r>
          </w:p>
          <w:p w14:paraId="239E6F69" w14:textId="77777777" w:rsidR="00FB05FC" w:rsidRPr="00FB05FC" w:rsidRDefault="00FB05FC" w:rsidP="00FB05FC">
            <w:pPr>
              <w:pStyle w:val="Table"/>
              <w:numPr>
                <w:ilvl w:val="0"/>
                <w:numId w:val="6"/>
              </w:numPr>
              <w:spacing w:before="100" w:after="100"/>
              <w:rPr>
                <w:sz w:val="18"/>
                <w:szCs w:val="18"/>
              </w:rPr>
            </w:pPr>
            <w:r w:rsidRPr="00FB05FC">
              <w:rPr>
                <w:sz w:val="18"/>
                <w:szCs w:val="18"/>
              </w:rPr>
              <w:t>arrangements purporting to admit an individual as a partner, where the individual is not an owner or equity holder in the partnership, and</w:t>
            </w:r>
          </w:p>
          <w:p w14:paraId="1024CF5C" w14:textId="77777777" w:rsidR="00FB05FC" w:rsidRPr="00FB05FC" w:rsidRDefault="00FB05FC" w:rsidP="00FB05FC">
            <w:pPr>
              <w:pStyle w:val="Table"/>
              <w:numPr>
                <w:ilvl w:val="0"/>
                <w:numId w:val="6"/>
              </w:numPr>
              <w:spacing w:before="100" w:after="100"/>
              <w:rPr>
                <w:sz w:val="18"/>
                <w:szCs w:val="18"/>
              </w:rPr>
            </w:pPr>
            <w:r w:rsidRPr="00FB05FC">
              <w:rPr>
                <w:sz w:val="18"/>
                <w:szCs w:val="18"/>
              </w:rPr>
              <w:t>arrangements where the IPP's relationship has characteristics indicating their relationship with the partnership is akin to a contractor or employee.</w:t>
            </w:r>
          </w:p>
          <w:p w14:paraId="6F33C972" w14:textId="77777777" w:rsidR="00FB05FC" w:rsidRPr="00FB05FC" w:rsidRDefault="00FB05FC" w:rsidP="00FB05FC">
            <w:pPr>
              <w:pStyle w:val="Table"/>
              <w:spacing w:before="100" w:after="100"/>
              <w:ind w:left="720"/>
              <w:rPr>
                <w:sz w:val="18"/>
                <w:szCs w:val="18"/>
              </w:rPr>
            </w:pPr>
            <w:bookmarkStart w:id="3" w:name="P56"/>
            <w:bookmarkStart w:id="4" w:name="#P56"/>
            <w:bookmarkEnd w:id="3"/>
            <w:bookmarkEnd w:id="4"/>
            <w:r w:rsidRPr="00FB05FC">
              <w:rPr>
                <w:sz w:val="18"/>
                <w:szCs w:val="18"/>
              </w:rPr>
              <w:t>Factors that may indicate there has been a departure from </w:t>
            </w:r>
            <w:r w:rsidRPr="00FB05FC">
              <w:rPr>
                <w:i/>
                <w:iCs/>
                <w:sz w:val="18"/>
                <w:szCs w:val="18"/>
              </w:rPr>
              <w:t>Everett</w:t>
            </w:r>
            <w:r w:rsidRPr="00FB05FC">
              <w:rPr>
                <w:sz w:val="18"/>
                <w:szCs w:val="18"/>
              </w:rPr>
              <w:t> and </w:t>
            </w:r>
            <w:r w:rsidRPr="00FB05FC">
              <w:rPr>
                <w:i/>
                <w:iCs/>
                <w:sz w:val="18"/>
                <w:szCs w:val="18"/>
              </w:rPr>
              <w:t>Galland</w:t>
            </w:r>
            <w:r w:rsidRPr="00FB05FC">
              <w:rPr>
                <w:sz w:val="18"/>
                <w:szCs w:val="18"/>
              </w:rPr>
              <w:t> include but are not limited to:</w:t>
            </w:r>
          </w:p>
          <w:p w14:paraId="30C41021" w14:textId="77777777" w:rsidR="00FB05FC" w:rsidRPr="00FB05FC" w:rsidRDefault="00FB05FC" w:rsidP="00FB05FC">
            <w:pPr>
              <w:pStyle w:val="Table"/>
              <w:numPr>
                <w:ilvl w:val="0"/>
                <w:numId w:val="6"/>
              </w:numPr>
              <w:spacing w:before="100" w:after="100"/>
              <w:rPr>
                <w:sz w:val="18"/>
                <w:szCs w:val="18"/>
              </w:rPr>
            </w:pPr>
            <w:r w:rsidRPr="00FB05FC">
              <w:rPr>
                <w:sz w:val="18"/>
                <w:szCs w:val="18"/>
              </w:rPr>
              <w:t>indemnification of non-owner/non-equity holders by equity partners against any professional liability in respect of actions against the partnership</w:t>
            </w:r>
          </w:p>
          <w:p w14:paraId="6CAB8340" w14:textId="77777777" w:rsidR="00FB05FC" w:rsidRPr="00FB05FC" w:rsidRDefault="00FB05FC" w:rsidP="00FB05FC">
            <w:pPr>
              <w:pStyle w:val="Table"/>
              <w:numPr>
                <w:ilvl w:val="0"/>
                <w:numId w:val="6"/>
              </w:numPr>
              <w:spacing w:before="100" w:after="100"/>
              <w:rPr>
                <w:sz w:val="18"/>
                <w:szCs w:val="18"/>
              </w:rPr>
            </w:pPr>
            <w:r w:rsidRPr="00FB05FC">
              <w:rPr>
                <w:sz w:val="18"/>
                <w:szCs w:val="18"/>
              </w:rPr>
              <w:t>a fixed draw or salary, particularly where there is limited or no exposure (without indemnification) to the risks and benefits associated with the performance of the partnership as to the payment of that draw or salary, and</w:t>
            </w:r>
          </w:p>
          <w:p w14:paraId="0AD7101C" w14:textId="77777777" w:rsidR="00FB05FC" w:rsidRPr="00FB05FC" w:rsidRDefault="00FB05FC" w:rsidP="00FB05FC">
            <w:pPr>
              <w:pStyle w:val="Table"/>
              <w:numPr>
                <w:ilvl w:val="0"/>
                <w:numId w:val="6"/>
              </w:numPr>
              <w:spacing w:before="100" w:after="100"/>
              <w:rPr>
                <w:sz w:val="18"/>
                <w:szCs w:val="18"/>
              </w:rPr>
            </w:pPr>
            <w:r w:rsidRPr="00FB05FC">
              <w:rPr>
                <w:sz w:val="18"/>
                <w:szCs w:val="18"/>
              </w:rPr>
              <w:t>a lack of rights to full participation in management and the benefits of the partnership, relative to other partners.</w:t>
            </w:r>
          </w:p>
          <w:p w14:paraId="7791BE56" w14:textId="77777777" w:rsidR="007C5DE5" w:rsidRPr="00FB05FC" w:rsidRDefault="00FB05FC" w:rsidP="00FB05FC">
            <w:pPr>
              <w:pStyle w:val="Table"/>
              <w:spacing w:before="100" w:after="100"/>
              <w:ind w:left="720"/>
              <w:rPr>
                <w:sz w:val="16"/>
                <w:szCs w:val="16"/>
              </w:rPr>
            </w:pPr>
            <w:r w:rsidRPr="00FB05FC">
              <w:rPr>
                <w:sz w:val="16"/>
                <w:szCs w:val="16"/>
              </w:rPr>
              <w:t>Example:</w:t>
            </w:r>
            <w:r>
              <w:rPr>
                <w:sz w:val="16"/>
                <w:szCs w:val="16"/>
              </w:rPr>
              <w:t xml:space="preserve"> </w:t>
            </w:r>
            <w:r w:rsidRPr="00FB05FC">
              <w:rPr>
                <w:iCs/>
                <w:sz w:val="16"/>
                <w:szCs w:val="16"/>
              </w:rPr>
              <w:t>An individual is made a non-equity partner in a professional firm. The non-equity</w:t>
            </w:r>
            <w:r w:rsidRPr="00FB05FC">
              <w:rPr>
                <w:sz w:val="16"/>
                <w:szCs w:val="16"/>
              </w:rPr>
              <w:t> partner </w:t>
            </w:r>
            <w:r w:rsidRPr="00FB05FC">
              <w:rPr>
                <w:iCs/>
                <w:sz w:val="16"/>
                <w:szCs w:val="16"/>
              </w:rPr>
              <w:t>is not required to make a capital contribution, has a fixed draw component of $130,000, and has no right to vote or participate in the management of the firm. The non-equity partner undertakes an Everett assignment of their income to their family discretionary trust. The ATO does not consider this arrangement to be in line with the principles in Everett and Galland. In these circumstances, this Guideline does not apply.</w:t>
            </w:r>
          </w:p>
          <w:p w14:paraId="2D3FE3FA" w14:textId="77777777" w:rsidR="007C5DE5" w:rsidRPr="00FB05FC" w:rsidRDefault="007C5DE5" w:rsidP="007C5DE5">
            <w:pPr>
              <w:pStyle w:val="Table"/>
              <w:numPr>
                <w:ilvl w:val="0"/>
                <w:numId w:val="5"/>
              </w:numPr>
              <w:spacing w:before="100" w:after="100"/>
              <w:rPr>
                <w:sz w:val="18"/>
                <w:szCs w:val="18"/>
              </w:rPr>
            </w:pPr>
            <w:r w:rsidRPr="00FB05FC">
              <w:rPr>
                <w:sz w:val="18"/>
                <w:szCs w:val="18"/>
              </w:rPr>
              <w:t>Multiple classes of shares and units held by non-equity hold</w:t>
            </w:r>
            <w:r w:rsidR="00FB05FC" w:rsidRPr="00FB05FC">
              <w:rPr>
                <w:sz w:val="18"/>
                <w:szCs w:val="18"/>
              </w:rPr>
              <w:t>ers. The</w:t>
            </w:r>
            <w:r w:rsidR="00FB05FC" w:rsidRPr="00FB05FC">
              <w:rPr>
                <w:rFonts w:cs="Arial"/>
                <w:sz w:val="18"/>
                <w:szCs w:val="18"/>
                <w:shd w:val="clear" w:color="auto" w:fill="FFFFFF"/>
              </w:rPr>
              <w:t xml:space="preserve"> ATO considers the issuing of multiple classes of shares in a company or units in a unit trust in a professional firm, without the accompanying voting rights, to be a high-risk feature due to the potential for alienation of income by professionals that are non-owner or non-equity holders in a structure. Further, the discretionary nature of these shares or units is usually linked to the personal performance of the non-owner or non-equity holder in order to receive any distribution or dividends.</w:t>
            </w:r>
          </w:p>
          <w:p w14:paraId="0719B5AE" w14:textId="77777777" w:rsidR="00FB05FC" w:rsidRPr="00FB05FC" w:rsidRDefault="00FB05FC" w:rsidP="00FB05FC">
            <w:pPr>
              <w:pStyle w:val="Table"/>
              <w:spacing w:before="100" w:after="100"/>
              <w:ind w:left="720"/>
              <w:rPr>
                <w:sz w:val="16"/>
                <w:szCs w:val="16"/>
              </w:rPr>
            </w:pPr>
            <w:r w:rsidRPr="00FB05FC">
              <w:rPr>
                <w:rFonts w:cs="Arial"/>
                <w:sz w:val="16"/>
                <w:szCs w:val="16"/>
                <w:shd w:val="clear" w:color="auto" w:fill="FFFFFF"/>
              </w:rPr>
              <w:t>Example:  A dividend access share arrangement which pays dividends, at the discretion of the directors of the firm, to the dividend access shareholders or unit holders (who are associated entities of a professional who is not an owner or equity holder). The entitlement to receive any distribution or dividends is linked to the personal performance of the non-owner/non-equity holder.</w:t>
            </w:r>
          </w:p>
          <w:p w14:paraId="005B8F1C" w14:textId="77777777" w:rsidR="007C5DE5" w:rsidRDefault="007C5DE5" w:rsidP="000A5BA4">
            <w:pPr>
              <w:pStyle w:val="Table"/>
              <w:spacing w:before="100" w:after="100"/>
              <w:rPr>
                <w:sz w:val="18"/>
                <w:szCs w:val="18"/>
              </w:rPr>
            </w:pPr>
          </w:p>
          <w:p w14:paraId="538DCFCE" w14:textId="77777777" w:rsidR="00AC761F" w:rsidRPr="000003D7" w:rsidRDefault="00AC761F" w:rsidP="000A5BA4">
            <w:pPr>
              <w:pStyle w:val="Table"/>
              <w:spacing w:before="100" w:after="100"/>
              <w:rPr>
                <w:sz w:val="18"/>
                <w:szCs w:val="18"/>
              </w:rPr>
            </w:pPr>
            <w:r w:rsidRPr="000003D7">
              <w:rPr>
                <w:sz w:val="18"/>
                <w:szCs w:val="18"/>
              </w:rPr>
              <w:t xml:space="preserve">If the answer is </w:t>
            </w:r>
            <w:r w:rsidR="007C5DE5">
              <w:rPr>
                <w:sz w:val="18"/>
                <w:szCs w:val="18"/>
              </w:rPr>
              <w:t>no to all of the above</w:t>
            </w:r>
            <w:r w:rsidRPr="000003D7">
              <w:rPr>
                <w:sz w:val="18"/>
                <w:szCs w:val="18"/>
              </w:rPr>
              <w:t xml:space="preserve">, </w:t>
            </w:r>
            <w:r w:rsidR="007C5DE5">
              <w:rPr>
                <w:sz w:val="18"/>
                <w:szCs w:val="18"/>
              </w:rPr>
              <w:t xml:space="preserve">the PCG can </w:t>
            </w:r>
            <w:r w:rsidRPr="000003D7">
              <w:rPr>
                <w:sz w:val="18"/>
                <w:szCs w:val="18"/>
              </w:rPr>
              <w:t xml:space="preserve">potentially apply. Continue to </w:t>
            </w:r>
            <w:r>
              <w:rPr>
                <w:sz w:val="18"/>
                <w:szCs w:val="18"/>
              </w:rPr>
              <w:t xml:space="preserve">question </w:t>
            </w:r>
            <w:r w:rsidR="007C5DE5">
              <w:rPr>
                <w:sz w:val="18"/>
                <w:szCs w:val="18"/>
              </w:rPr>
              <w:t>4</w:t>
            </w:r>
            <w:r w:rsidRPr="000003D7">
              <w:rPr>
                <w:sz w:val="18"/>
                <w:szCs w:val="18"/>
              </w:rPr>
              <w:t>.</w:t>
            </w:r>
          </w:p>
          <w:p w14:paraId="2B3BACEF" w14:textId="77777777" w:rsidR="00572E2D" w:rsidRDefault="007C5DE5" w:rsidP="00FB05FC">
            <w:pPr>
              <w:pStyle w:val="Table"/>
              <w:spacing w:before="100" w:after="100"/>
              <w:rPr>
                <w:rStyle w:val="Hyperlink"/>
                <w:sz w:val="18"/>
                <w:szCs w:val="18"/>
              </w:rPr>
            </w:pPr>
            <w:r>
              <w:rPr>
                <w:sz w:val="18"/>
                <w:szCs w:val="18"/>
              </w:rPr>
              <w:t>If the answer is yes to any of the above</w:t>
            </w:r>
            <w:r w:rsidR="00AC761F">
              <w:rPr>
                <w:sz w:val="18"/>
                <w:szCs w:val="18"/>
              </w:rPr>
              <w:t xml:space="preserve">, </w:t>
            </w:r>
            <w:r>
              <w:rPr>
                <w:sz w:val="18"/>
                <w:szCs w:val="18"/>
              </w:rPr>
              <w:t xml:space="preserve">the PCG would not apply and the ATO </w:t>
            </w:r>
            <w:r w:rsidR="00FB05FC">
              <w:rPr>
                <w:sz w:val="18"/>
                <w:szCs w:val="18"/>
              </w:rPr>
              <w:t>expects the IPP to</w:t>
            </w:r>
            <w:r>
              <w:rPr>
                <w:sz w:val="18"/>
                <w:szCs w:val="18"/>
              </w:rPr>
              <w:t xml:space="preserve"> </w:t>
            </w:r>
            <w:r w:rsidR="00FB05FC">
              <w:rPr>
                <w:sz w:val="18"/>
                <w:szCs w:val="18"/>
              </w:rPr>
              <w:t xml:space="preserve">engage </w:t>
            </w:r>
            <w:r>
              <w:rPr>
                <w:sz w:val="18"/>
                <w:szCs w:val="18"/>
              </w:rPr>
              <w:t xml:space="preserve">with them via </w:t>
            </w:r>
            <w:hyperlink r:id="rId7" w:history="1">
              <w:r w:rsidRPr="00360497">
                <w:rPr>
                  <w:rStyle w:val="Hyperlink"/>
                  <w:sz w:val="18"/>
                  <w:szCs w:val="18"/>
                </w:rPr>
                <w:t>ProfessionalPdts@ato.gov.au</w:t>
              </w:r>
            </w:hyperlink>
            <w:r w:rsidR="00572E2D">
              <w:rPr>
                <w:rStyle w:val="Hyperlink"/>
                <w:sz w:val="18"/>
                <w:szCs w:val="18"/>
              </w:rPr>
              <w:t>.</w:t>
            </w:r>
          </w:p>
          <w:p w14:paraId="0269F93E" w14:textId="2B660D90" w:rsidR="00AC761F" w:rsidRDefault="00572E2D" w:rsidP="00FB05FC">
            <w:pPr>
              <w:pStyle w:val="Table"/>
              <w:spacing w:before="100" w:after="100"/>
              <w:rPr>
                <w:sz w:val="18"/>
                <w:szCs w:val="18"/>
              </w:rPr>
            </w:pPr>
            <w:r>
              <w:rPr>
                <w:sz w:val="18"/>
                <w:szCs w:val="18"/>
              </w:rPr>
              <w:t>We recommend that you seek specialist tax advisory services prior to contacting the ATO where your arrangement is not within the green zone or has risk factors.</w:t>
            </w:r>
            <w:r w:rsidR="007C5DE5">
              <w:rPr>
                <w:sz w:val="18"/>
                <w:szCs w:val="18"/>
              </w:rPr>
              <w:t xml:space="preserve"> </w:t>
            </w:r>
          </w:p>
          <w:p w14:paraId="368B7480" w14:textId="6213434D" w:rsidR="006D6FD8" w:rsidRPr="00841A33" w:rsidRDefault="006D6FD8" w:rsidP="00A91624">
            <w:pPr>
              <w:pStyle w:val="Table"/>
              <w:spacing w:before="100" w:after="100"/>
              <w:rPr>
                <w:sz w:val="18"/>
                <w:szCs w:val="18"/>
              </w:rPr>
            </w:pPr>
            <w:r>
              <w:rPr>
                <w:sz w:val="18"/>
                <w:szCs w:val="18"/>
              </w:rPr>
              <w:t xml:space="preserve">The </w:t>
            </w:r>
            <w:r w:rsidR="00FF754B">
              <w:rPr>
                <w:sz w:val="18"/>
                <w:szCs w:val="18"/>
              </w:rPr>
              <w:t>high-risk</w:t>
            </w:r>
            <w:r>
              <w:rPr>
                <w:sz w:val="18"/>
                <w:szCs w:val="18"/>
              </w:rPr>
              <w:t xml:space="preserve"> features listed above are not exhaustive and the ATO may update this and amend PCG 2021/4 as the ATO becomes aware of further high-risk arrangements. Please check the latest </w:t>
            </w:r>
            <w:r w:rsidR="00A91624">
              <w:rPr>
                <w:sz w:val="18"/>
                <w:szCs w:val="18"/>
              </w:rPr>
              <w:t>PCG</w:t>
            </w:r>
            <w:r>
              <w:rPr>
                <w:sz w:val="18"/>
                <w:szCs w:val="18"/>
              </w:rPr>
              <w:t xml:space="preserve"> for changes. </w:t>
            </w:r>
            <w:r w:rsidR="00485A08">
              <w:rPr>
                <w:sz w:val="18"/>
                <w:szCs w:val="18"/>
              </w:rPr>
              <w:t>You should also maintain awareness of Taxpayer Alerts that are relevant to this PCG.</w:t>
            </w:r>
          </w:p>
        </w:tc>
        <w:tc>
          <w:tcPr>
            <w:tcW w:w="567" w:type="dxa"/>
            <w:tcBorders>
              <w:top w:val="single" w:sz="4" w:space="0" w:color="939598"/>
              <w:left w:val="single" w:sz="4" w:space="0" w:color="939598"/>
              <w:bottom w:val="single" w:sz="4" w:space="0" w:color="939598"/>
              <w:right w:val="single" w:sz="4" w:space="0" w:color="939598"/>
            </w:tcBorders>
            <w:vAlign w:val="center"/>
          </w:tcPr>
          <w:p w14:paraId="1F011617" w14:textId="77777777" w:rsidR="00AC761F" w:rsidRPr="00841A33" w:rsidRDefault="00AC761F"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07B934B2" w14:textId="77777777" w:rsidR="00AC761F" w:rsidRPr="00841A33" w:rsidRDefault="00AC761F" w:rsidP="000A5BA4">
            <w:pPr>
              <w:pStyle w:val="Table"/>
              <w:spacing w:before="100" w:after="100"/>
              <w:jc w:val="center"/>
              <w:rPr>
                <w:rFonts w:cs="Arial"/>
                <w:sz w:val="18"/>
                <w:szCs w:val="18"/>
              </w:rPr>
            </w:pPr>
          </w:p>
        </w:tc>
      </w:tr>
      <w:tr w:rsidR="007D7418" w:rsidRPr="00841A33" w14:paraId="0BB95B26" w14:textId="77777777" w:rsidTr="007D7418">
        <w:tc>
          <w:tcPr>
            <w:tcW w:w="9356" w:type="dxa"/>
            <w:tcBorders>
              <w:top w:val="nil"/>
              <w:left w:val="single" w:sz="4" w:space="0" w:color="C0C0C0"/>
              <w:bottom w:val="single" w:sz="4" w:space="0" w:color="939598"/>
              <w:right w:val="single" w:sz="4" w:space="0" w:color="C0C0C0"/>
            </w:tcBorders>
            <w:shd w:val="clear" w:color="auto" w:fill="051C3C"/>
          </w:tcPr>
          <w:p w14:paraId="66740182" w14:textId="77777777" w:rsidR="007D7418" w:rsidRPr="00841A33" w:rsidRDefault="007D7418" w:rsidP="007D7418">
            <w:pPr>
              <w:pStyle w:val="Table"/>
              <w:rPr>
                <w:sz w:val="18"/>
                <w:szCs w:val="18"/>
              </w:rPr>
            </w:pPr>
            <w:r>
              <w:rPr>
                <w:sz w:val="18"/>
                <w:szCs w:val="18"/>
              </w:rPr>
              <w:t>4</w:t>
            </w:r>
            <w:r w:rsidRPr="00841A33">
              <w:rPr>
                <w:sz w:val="18"/>
                <w:szCs w:val="18"/>
              </w:rPr>
              <w:t xml:space="preserve">. </w:t>
            </w:r>
            <w:r>
              <w:rPr>
                <w:sz w:val="18"/>
                <w:szCs w:val="18"/>
              </w:rPr>
              <w:t xml:space="preserve">Risk assessment </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0B6AD463" w14:textId="77777777" w:rsidR="007D7418" w:rsidRPr="007D7418" w:rsidRDefault="007D7418" w:rsidP="007D7418">
            <w:pPr>
              <w:pStyle w:val="Table"/>
              <w:rPr>
                <w:rFonts w:cs="Arial"/>
                <w:sz w:val="18"/>
                <w:szCs w:val="18"/>
              </w:rPr>
            </w:pPr>
            <w:r w:rsidRPr="007D7418">
              <w:rPr>
                <w:rFonts w:cs="Arial"/>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1C628C9E" w14:textId="77777777" w:rsidR="007D7418" w:rsidRPr="007D7418" w:rsidRDefault="007D7418" w:rsidP="007D7418">
            <w:pPr>
              <w:pStyle w:val="Table"/>
              <w:rPr>
                <w:rFonts w:cs="Arial"/>
                <w:sz w:val="18"/>
                <w:szCs w:val="18"/>
              </w:rPr>
            </w:pPr>
            <w:r w:rsidRPr="007D7418">
              <w:rPr>
                <w:rFonts w:cs="Arial"/>
                <w:sz w:val="18"/>
                <w:szCs w:val="18"/>
              </w:rPr>
              <w:t>No</w:t>
            </w:r>
          </w:p>
        </w:tc>
      </w:tr>
      <w:tr w:rsidR="00271812" w:rsidRPr="00271812" w14:paraId="74588E9E" w14:textId="77777777" w:rsidTr="007D7418">
        <w:tc>
          <w:tcPr>
            <w:tcW w:w="9356" w:type="dxa"/>
            <w:tcBorders>
              <w:top w:val="nil"/>
              <w:left w:val="single" w:sz="4" w:space="0" w:color="C0C0C0"/>
              <w:bottom w:val="single" w:sz="4" w:space="0" w:color="939598"/>
              <w:right w:val="single" w:sz="4" w:space="0" w:color="C0C0C0"/>
            </w:tcBorders>
          </w:tcPr>
          <w:p w14:paraId="60EA7ACC" w14:textId="77777777" w:rsidR="007D7418" w:rsidRPr="00271812" w:rsidRDefault="007D7418" w:rsidP="000A5BA4">
            <w:pPr>
              <w:pStyle w:val="Table"/>
              <w:spacing w:before="100" w:after="100"/>
              <w:rPr>
                <w:sz w:val="18"/>
                <w:szCs w:val="18"/>
              </w:rPr>
            </w:pPr>
            <w:r w:rsidRPr="00271812">
              <w:rPr>
                <w:sz w:val="18"/>
                <w:szCs w:val="18"/>
              </w:rPr>
              <w:lastRenderedPageBreak/>
              <w:t xml:space="preserve">The following table sets out the score for each risk assessment factor </w:t>
            </w:r>
          </w:p>
          <w:tbl>
            <w:tblPr>
              <w:tblW w:w="881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57"/>
              <w:gridCol w:w="850"/>
              <w:gridCol w:w="992"/>
              <w:gridCol w:w="851"/>
              <w:gridCol w:w="850"/>
              <w:gridCol w:w="709"/>
              <w:gridCol w:w="709"/>
            </w:tblGrid>
            <w:tr w:rsidR="00271812" w:rsidRPr="00271812" w14:paraId="2968FDE5" w14:textId="77777777" w:rsidTr="007D7418">
              <w:trPr>
                <w:gridAfter w:val="6"/>
                <w:wAfter w:w="4961" w:type="dxa"/>
              </w:trPr>
              <w:tc>
                <w:tcPr>
                  <w:tcW w:w="3857" w:type="dxa"/>
                  <w:shd w:val="clear" w:color="auto" w:fill="FFFFFF"/>
                  <w:vAlign w:val="center"/>
                  <w:hideMark/>
                </w:tcPr>
                <w:p w14:paraId="1E75D494" w14:textId="77777777" w:rsidR="007D7418" w:rsidRPr="00271812" w:rsidRDefault="007D7418" w:rsidP="007D7418">
                  <w:pPr>
                    <w:rPr>
                      <w:rFonts w:ascii="Times New Roman" w:eastAsia="Times New Roman" w:hAnsi="Times New Roman"/>
                      <w:sz w:val="20"/>
                      <w:szCs w:val="20"/>
                    </w:rPr>
                  </w:pPr>
                </w:p>
              </w:tc>
            </w:tr>
            <w:tr w:rsidR="00271812" w:rsidRPr="00271812" w14:paraId="2F7F3886" w14:textId="77777777" w:rsidTr="007D7418">
              <w:tc>
                <w:tcPr>
                  <w:tcW w:w="38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3BE102A6" w14:textId="77777777" w:rsidR="007D7418" w:rsidRPr="0004542C" w:rsidRDefault="007D7418" w:rsidP="007D7418">
                  <w:pPr>
                    <w:rPr>
                      <w:rFonts w:cs="Arial"/>
                      <w:sz w:val="18"/>
                      <w:szCs w:val="18"/>
                    </w:rPr>
                  </w:pPr>
                  <w:r w:rsidRPr="0004542C">
                    <w:rPr>
                      <w:rStyle w:val="Strong"/>
                      <w:rFonts w:cs="Arial"/>
                      <w:b w:val="0"/>
                      <w:bCs w:val="0"/>
                      <w:sz w:val="18"/>
                      <w:szCs w:val="18"/>
                    </w:rPr>
                    <w:t>Risk assessment factor</w:t>
                  </w:r>
                </w:p>
              </w:tc>
              <w:tc>
                <w:tcPr>
                  <w:tcW w:w="4961"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22F6695" w14:textId="77777777" w:rsidR="007D7418" w:rsidRPr="0004542C" w:rsidRDefault="007D7418" w:rsidP="007D7418">
                  <w:pPr>
                    <w:rPr>
                      <w:rFonts w:cs="Arial"/>
                      <w:sz w:val="18"/>
                      <w:szCs w:val="18"/>
                    </w:rPr>
                  </w:pPr>
                  <w:r w:rsidRPr="0004542C">
                    <w:rPr>
                      <w:rStyle w:val="Strong"/>
                      <w:rFonts w:cs="Arial"/>
                      <w:b w:val="0"/>
                      <w:bCs w:val="0"/>
                      <w:sz w:val="18"/>
                      <w:szCs w:val="18"/>
                    </w:rPr>
                    <w:t>Score</w:t>
                  </w:r>
                </w:p>
              </w:tc>
            </w:tr>
            <w:tr w:rsidR="00271812" w:rsidRPr="00271812" w14:paraId="28325091" w14:textId="77777777" w:rsidTr="007D7418">
              <w:tc>
                <w:tcPr>
                  <w:tcW w:w="38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3EA830B7" w14:textId="77777777" w:rsidR="007D7418" w:rsidRPr="0004542C" w:rsidRDefault="007D7418" w:rsidP="007D7418">
                  <w:pPr>
                    <w:rPr>
                      <w:rFonts w:cs="Arial"/>
                      <w:sz w:val="18"/>
                      <w:szCs w:val="18"/>
                    </w:rPr>
                  </w:pPr>
                  <w:r w:rsidRPr="0004542C">
                    <w:rPr>
                      <w:rFonts w:cs="Arial"/>
                      <w:sz w:val="18"/>
                      <w:szCs w:val="18"/>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561B39F" w14:textId="77777777" w:rsidR="007D7418" w:rsidRPr="0004542C" w:rsidRDefault="007D7418" w:rsidP="007D7418">
                  <w:pPr>
                    <w:jc w:val="center"/>
                    <w:rPr>
                      <w:rFonts w:cs="Arial"/>
                      <w:sz w:val="18"/>
                      <w:szCs w:val="18"/>
                    </w:rPr>
                  </w:pPr>
                  <w:r w:rsidRPr="0004542C">
                    <w:rPr>
                      <w:rStyle w:val="Strong"/>
                      <w:rFonts w:cs="Arial"/>
                      <w:b w:val="0"/>
                      <w:bCs w:val="0"/>
                      <w:sz w:val="18"/>
                      <w:szCs w:val="18"/>
                    </w:rPr>
                    <w:t>1</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34BE1E" w14:textId="77777777" w:rsidR="007D7418" w:rsidRPr="0004542C" w:rsidRDefault="007D7418" w:rsidP="007D7418">
                  <w:pPr>
                    <w:jc w:val="center"/>
                    <w:rPr>
                      <w:rFonts w:cs="Arial"/>
                      <w:sz w:val="18"/>
                      <w:szCs w:val="18"/>
                    </w:rPr>
                  </w:pPr>
                  <w:r w:rsidRPr="0004542C">
                    <w:rPr>
                      <w:rStyle w:val="Strong"/>
                      <w:rFonts w:cs="Arial"/>
                      <w:b w:val="0"/>
                      <w:bCs w:val="0"/>
                      <w:sz w:val="18"/>
                      <w:szCs w:val="18"/>
                    </w:rPr>
                    <w:t>2</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26E5932" w14:textId="77777777" w:rsidR="007D7418" w:rsidRPr="0004542C" w:rsidRDefault="007D7418" w:rsidP="007D7418">
                  <w:pPr>
                    <w:jc w:val="center"/>
                    <w:rPr>
                      <w:rFonts w:cs="Arial"/>
                      <w:sz w:val="18"/>
                      <w:szCs w:val="18"/>
                    </w:rPr>
                  </w:pPr>
                  <w:r w:rsidRPr="0004542C">
                    <w:rPr>
                      <w:rStyle w:val="Strong"/>
                      <w:rFonts w:cs="Arial"/>
                      <w:b w:val="0"/>
                      <w:bCs w:val="0"/>
                      <w:sz w:val="18"/>
                      <w:szCs w:val="18"/>
                    </w:rPr>
                    <w:t>3</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E6093E6" w14:textId="77777777" w:rsidR="007D7418" w:rsidRPr="0004542C" w:rsidRDefault="007D7418" w:rsidP="007D7418">
                  <w:pPr>
                    <w:jc w:val="center"/>
                    <w:rPr>
                      <w:rFonts w:cs="Arial"/>
                      <w:sz w:val="18"/>
                      <w:szCs w:val="18"/>
                    </w:rPr>
                  </w:pPr>
                  <w:r w:rsidRPr="0004542C">
                    <w:rPr>
                      <w:rStyle w:val="Strong"/>
                      <w:rFonts w:cs="Arial"/>
                      <w:b w:val="0"/>
                      <w:bCs w:val="0"/>
                      <w:sz w:val="18"/>
                      <w:szCs w:val="18"/>
                    </w:rPr>
                    <w:t>4</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A16DC5C" w14:textId="77777777" w:rsidR="007D7418" w:rsidRPr="0004542C" w:rsidRDefault="007D7418" w:rsidP="007D7418">
                  <w:pPr>
                    <w:jc w:val="center"/>
                    <w:rPr>
                      <w:rFonts w:cs="Arial"/>
                      <w:sz w:val="18"/>
                      <w:szCs w:val="18"/>
                    </w:rPr>
                  </w:pPr>
                  <w:r w:rsidRPr="0004542C">
                    <w:rPr>
                      <w:rStyle w:val="Strong"/>
                      <w:rFonts w:cs="Arial"/>
                      <w:b w:val="0"/>
                      <w:bCs w:val="0"/>
                      <w:sz w:val="18"/>
                      <w:szCs w:val="18"/>
                    </w:rPr>
                    <w:t>5</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A108E5D" w14:textId="77777777" w:rsidR="007D7418" w:rsidRPr="0004542C" w:rsidRDefault="007D7418" w:rsidP="007D7418">
                  <w:pPr>
                    <w:jc w:val="center"/>
                    <w:rPr>
                      <w:rFonts w:cs="Arial"/>
                      <w:sz w:val="18"/>
                      <w:szCs w:val="18"/>
                    </w:rPr>
                  </w:pPr>
                  <w:r w:rsidRPr="0004542C">
                    <w:rPr>
                      <w:rStyle w:val="Strong"/>
                      <w:rFonts w:cs="Arial"/>
                      <w:b w:val="0"/>
                      <w:bCs w:val="0"/>
                      <w:sz w:val="18"/>
                      <w:szCs w:val="18"/>
                    </w:rPr>
                    <w:t>6</w:t>
                  </w:r>
                </w:p>
              </w:tc>
            </w:tr>
            <w:tr w:rsidR="00271812" w:rsidRPr="00271812" w14:paraId="3AB8520E" w14:textId="77777777" w:rsidTr="007D7418">
              <w:tc>
                <w:tcPr>
                  <w:tcW w:w="38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2D4988CB" w14:textId="77777777" w:rsidR="007D7418" w:rsidRPr="0004542C" w:rsidRDefault="007D7418" w:rsidP="007D7418">
                  <w:pPr>
                    <w:rPr>
                      <w:rFonts w:cs="Arial"/>
                      <w:sz w:val="18"/>
                      <w:szCs w:val="18"/>
                    </w:rPr>
                  </w:pPr>
                  <w:r w:rsidRPr="0004542C">
                    <w:rPr>
                      <w:rStyle w:val="Strong"/>
                      <w:rFonts w:cs="Arial"/>
                      <w:b w:val="0"/>
                      <w:bCs w:val="0"/>
                      <w:sz w:val="18"/>
                      <w:szCs w:val="18"/>
                    </w:rPr>
                    <w:t>(1) Proportion of profit entitlement from the whole of firm group returned in the hands of the IPP</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9119D79"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&gt;90%</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3D320F8"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&gt;75% to ≤90%</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5A4A73B"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&gt;60% to ≤75%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8B053CE" w14:textId="77777777" w:rsidR="007D7418" w:rsidRPr="0004542C" w:rsidRDefault="00A5437E" w:rsidP="007D7418">
                  <w:pPr>
                    <w:pStyle w:val="center"/>
                    <w:spacing w:before="0" w:beforeAutospacing="0" w:after="0" w:afterAutospacing="0"/>
                    <w:jc w:val="center"/>
                    <w:rPr>
                      <w:rFonts w:ascii="Arial" w:hAnsi="Arial" w:cs="Arial"/>
                      <w:sz w:val="18"/>
                      <w:szCs w:val="18"/>
                    </w:rPr>
                  </w:pPr>
                  <w:r>
                    <w:rPr>
                      <w:rFonts w:ascii="Arial" w:hAnsi="Arial" w:cs="Arial"/>
                      <w:sz w:val="18"/>
                      <w:szCs w:val="18"/>
                    </w:rPr>
                    <w:t>≥</w:t>
                  </w:r>
                  <w:r w:rsidR="007D7418" w:rsidRPr="0004542C">
                    <w:rPr>
                      <w:rFonts w:ascii="Arial" w:hAnsi="Arial" w:cs="Arial"/>
                      <w:sz w:val="18"/>
                      <w:szCs w:val="18"/>
                    </w:rPr>
                    <w:t>50% to ≤60%</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F8BE9B6" w14:textId="77777777" w:rsidR="007D7418" w:rsidRPr="0004542C" w:rsidRDefault="00A5437E" w:rsidP="007D7418">
                  <w:pPr>
                    <w:pStyle w:val="center"/>
                    <w:spacing w:before="0" w:beforeAutospacing="0" w:after="0" w:afterAutospacing="0"/>
                    <w:jc w:val="center"/>
                    <w:rPr>
                      <w:rFonts w:ascii="Arial" w:hAnsi="Arial" w:cs="Arial"/>
                      <w:sz w:val="18"/>
                      <w:szCs w:val="18"/>
                    </w:rPr>
                  </w:pPr>
                  <w:r>
                    <w:rPr>
                      <w:rFonts w:ascii="Arial" w:hAnsi="Arial" w:cs="Arial"/>
                      <w:sz w:val="18"/>
                      <w:szCs w:val="18"/>
                    </w:rPr>
                    <w:t>&gt;25% to &lt;</w:t>
                  </w:r>
                  <w:r w:rsidR="007D7418" w:rsidRPr="0004542C">
                    <w:rPr>
                      <w:rFonts w:ascii="Arial" w:hAnsi="Arial" w:cs="Arial"/>
                      <w:sz w:val="18"/>
                      <w:szCs w:val="18"/>
                    </w:rPr>
                    <w:t>50%</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591F031"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≤25%</w:t>
                  </w:r>
                </w:p>
              </w:tc>
            </w:tr>
            <w:tr w:rsidR="00271812" w:rsidRPr="00271812" w14:paraId="70EBD69D" w14:textId="77777777" w:rsidTr="007D7418">
              <w:tc>
                <w:tcPr>
                  <w:tcW w:w="38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4C30BD26" w14:textId="77777777" w:rsidR="007D7418" w:rsidRPr="0004542C" w:rsidRDefault="007D7418" w:rsidP="00271812">
                  <w:pPr>
                    <w:rPr>
                      <w:rFonts w:cs="Arial"/>
                      <w:sz w:val="18"/>
                      <w:szCs w:val="18"/>
                    </w:rPr>
                  </w:pPr>
                  <w:r w:rsidRPr="0004542C">
                    <w:rPr>
                      <w:rStyle w:val="Strong"/>
                      <w:rFonts w:cs="Arial"/>
                      <w:b w:val="0"/>
                      <w:bCs w:val="0"/>
                      <w:sz w:val="18"/>
                      <w:szCs w:val="18"/>
                    </w:rPr>
                    <w:t>(2) Total effective tax rate for income received from the firm by the IPP and associated entities </w:t>
                  </w:r>
                  <w:bookmarkStart w:id="5" w:name="#FT6"/>
                  <w:bookmarkStart w:id="6" w:name="ft6"/>
                  <w:bookmarkEnd w:id="5"/>
                  <w:bookmarkEnd w:id="6"/>
                  <w:r w:rsidR="00271812" w:rsidRPr="0004542C">
                    <w:rPr>
                      <w:rStyle w:val="Strong"/>
                      <w:rFonts w:cs="Arial"/>
                      <w:b w:val="0"/>
                      <w:bCs w:val="0"/>
                      <w:sz w:val="18"/>
                      <w:szCs w:val="18"/>
                    </w:rPr>
                    <w:t>(excludes levies such as Medicare)</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4D54163"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&gt;40%</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43A19A2"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&gt;35% to ≤40%</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43F604D6" w14:textId="77777777" w:rsidR="007D7418" w:rsidRPr="0004542C" w:rsidRDefault="00A5437E" w:rsidP="007D7418">
                  <w:pPr>
                    <w:rPr>
                      <w:sz w:val="18"/>
                      <w:szCs w:val="18"/>
                    </w:rPr>
                  </w:pPr>
                  <w:r>
                    <w:rPr>
                      <w:rFonts w:cs="Arial"/>
                      <w:sz w:val="18"/>
                      <w:szCs w:val="18"/>
                    </w:rPr>
                    <w:t>≥</w:t>
                  </w:r>
                  <w:r w:rsidR="007D7418" w:rsidRPr="0004542C">
                    <w:rPr>
                      <w:rFonts w:cs="Arial"/>
                      <w:sz w:val="18"/>
                      <w:szCs w:val="18"/>
                    </w:rPr>
                    <w:t>30% to ≤35%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0246D4B" w14:textId="77777777" w:rsidR="007D7418" w:rsidRPr="0004542C" w:rsidRDefault="00A5437E" w:rsidP="007D7418">
                  <w:pPr>
                    <w:rPr>
                      <w:sz w:val="18"/>
                      <w:szCs w:val="18"/>
                    </w:rPr>
                  </w:pPr>
                  <w:r>
                    <w:rPr>
                      <w:rFonts w:cs="Arial"/>
                      <w:sz w:val="18"/>
                      <w:szCs w:val="18"/>
                    </w:rPr>
                    <w:t>&gt;25% to &lt;</w:t>
                  </w:r>
                  <w:r w:rsidR="007D7418" w:rsidRPr="0004542C">
                    <w:rPr>
                      <w:rFonts w:cs="Arial"/>
                      <w:sz w:val="18"/>
                      <w:szCs w:val="18"/>
                    </w:rPr>
                    <w:t>30%</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081B123" w14:textId="77777777" w:rsidR="007D7418" w:rsidRPr="0004542C" w:rsidRDefault="007D7418" w:rsidP="007D7418">
                  <w:pPr>
                    <w:rPr>
                      <w:sz w:val="18"/>
                      <w:szCs w:val="18"/>
                    </w:rPr>
                  </w:pPr>
                  <w:r w:rsidRPr="0004542C">
                    <w:rPr>
                      <w:rFonts w:cs="Arial"/>
                      <w:sz w:val="18"/>
                      <w:szCs w:val="18"/>
                    </w:rPr>
                    <w:t>&gt;20% to ≤25%</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2A754BDB" w14:textId="77777777" w:rsidR="007D7418" w:rsidRPr="0004542C" w:rsidRDefault="007D7418" w:rsidP="007D7418">
                  <w:pPr>
                    <w:rPr>
                      <w:sz w:val="18"/>
                      <w:szCs w:val="18"/>
                    </w:rPr>
                  </w:pPr>
                  <w:r w:rsidRPr="0004542C">
                    <w:rPr>
                      <w:rFonts w:cs="Arial"/>
                      <w:sz w:val="18"/>
                      <w:szCs w:val="18"/>
                    </w:rPr>
                    <w:t xml:space="preserve"> ≤20%</w:t>
                  </w:r>
                </w:p>
              </w:tc>
            </w:tr>
            <w:tr w:rsidR="00271812" w:rsidRPr="00271812" w14:paraId="314E1475" w14:textId="77777777" w:rsidTr="007D7418">
              <w:tc>
                <w:tcPr>
                  <w:tcW w:w="38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22953EDF" w14:textId="77777777" w:rsidR="007D7418" w:rsidRPr="0004542C" w:rsidRDefault="007D7418" w:rsidP="007D7418">
                  <w:pPr>
                    <w:rPr>
                      <w:rFonts w:cs="Arial"/>
                      <w:sz w:val="18"/>
                      <w:szCs w:val="18"/>
                    </w:rPr>
                  </w:pPr>
                  <w:r w:rsidRPr="0004542C">
                    <w:rPr>
                      <w:rStyle w:val="Strong"/>
                      <w:rFonts w:cs="Arial"/>
                      <w:b w:val="0"/>
                      <w:bCs w:val="0"/>
                      <w:sz w:val="18"/>
                      <w:szCs w:val="18"/>
                    </w:rPr>
                    <w:t>(3) Remuneration returned in the hands of the IPP as a percentage of the commercial benchmark for the services provided to the firm</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299B1F9"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&gt;200%</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D4D89CD" w14:textId="77777777" w:rsidR="007D7418" w:rsidRPr="0004542C" w:rsidRDefault="007D7418" w:rsidP="007D7418">
                  <w:pPr>
                    <w:pStyle w:val="center"/>
                    <w:spacing w:before="0" w:beforeAutospacing="0" w:after="0" w:afterAutospacing="0"/>
                    <w:jc w:val="center"/>
                    <w:rPr>
                      <w:rFonts w:ascii="Arial" w:hAnsi="Arial" w:cs="Arial"/>
                      <w:sz w:val="18"/>
                      <w:szCs w:val="18"/>
                    </w:rPr>
                  </w:pPr>
                  <w:r w:rsidRPr="0004542C">
                    <w:rPr>
                      <w:rFonts w:ascii="Arial" w:hAnsi="Arial" w:cs="Arial"/>
                      <w:sz w:val="18"/>
                      <w:szCs w:val="18"/>
                    </w:rPr>
                    <w:t>&gt;150% to ≤200%</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52AC7056" w14:textId="77777777" w:rsidR="007D7418" w:rsidRPr="0004542C" w:rsidRDefault="007D7418" w:rsidP="00271812">
                  <w:pPr>
                    <w:rPr>
                      <w:sz w:val="18"/>
                      <w:szCs w:val="18"/>
                    </w:rPr>
                  </w:pPr>
                  <w:r w:rsidRPr="0004542C">
                    <w:rPr>
                      <w:rFonts w:cs="Arial"/>
                      <w:sz w:val="18"/>
                      <w:szCs w:val="18"/>
                    </w:rPr>
                    <w:t>&gt;</w:t>
                  </w:r>
                  <w:r w:rsidR="00271812" w:rsidRPr="0004542C">
                    <w:rPr>
                      <w:rFonts w:cs="Arial"/>
                      <w:sz w:val="18"/>
                      <w:szCs w:val="18"/>
                    </w:rPr>
                    <w:t>100</w:t>
                  </w:r>
                  <w:r w:rsidRPr="0004542C">
                    <w:rPr>
                      <w:rFonts w:cs="Arial"/>
                      <w:sz w:val="18"/>
                      <w:szCs w:val="18"/>
                    </w:rPr>
                    <w:t>% to ≤</w:t>
                  </w:r>
                  <w:r w:rsidR="00271812" w:rsidRPr="0004542C">
                    <w:rPr>
                      <w:rFonts w:cs="Arial"/>
                      <w:sz w:val="18"/>
                      <w:szCs w:val="18"/>
                    </w:rPr>
                    <w:t>150</w:t>
                  </w:r>
                  <w:r w:rsidRPr="0004542C">
                    <w:rPr>
                      <w:rFonts w:cs="Arial"/>
                      <w:sz w:val="18"/>
                      <w:szCs w:val="18"/>
                    </w:rPr>
                    <w:t>%</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3C5E7E9D" w14:textId="77777777" w:rsidR="007D7418" w:rsidRPr="0004542C" w:rsidRDefault="007D7418" w:rsidP="00271812">
                  <w:pPr>
                    <w:rPr>
                      <w:sz w:val="18"/>
                      <w:szCs w:val="18"/>
                    </w:rPr>
                  </w:pPr>
                  <w:r w:rsidRPr="0004542C">
                    <w:rPr>
                      <w:rFonts w:cs="Arial"/>
                      <w:sz w:val="18"/>
                      <w:szCs w:val="18"/>
                    </w:rPr>
                    <w:t>&gt;</w:t>
                  </w:r>
                  <w:r w:rsidR="00271812" w:rsidRPr="0004542C">
                    <w:rPr>
                      <w:rFonts w:cs="Arial"/>
                      <w:sz w:val="18"/>
                      <w:szCs w:val="18"/>
                    </w:rPr>
                    <w:t>90</w:t>
                  </w:r>
                  <w:r w:rsidRPr="0004542C">
                    <w:rPr>
                      <w:rFonts w:cs="Arial"/>
                      <w:sz w:val="18"/>
                      <w:szCs w:val="18"/>
                    </w:rPr>
                    <w:t>% to ≤</w:t>
                  </w:r>
                  <w:r w:rsidR="00271812" w:rsidRPr="0004542C">
                    <w:rPr>
                      <w:rFonts w:cs="Arial"/>
                      <w:sz w:val="18"/>
                      <w:szCs w:val="18"/>
                    </w:rPr>
                    <w:t>100</w:t>
                  </w:r>
                  <w:r w:rsidRPr="0004542C">
                    <w:rPr>
                      <w:rFonts w:cs="Arial"/>
                      <w:sz w:val="18"/>
                      <w:szCs w:val="18"/>
                    </w:rPr>
                    <w:t>%</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02C320B" w14:textId="77777777" w:rsidR="007D7418" w:rsidRPr="0004542C" w:rsidRDefault="007D7418" w:rsidP="00271812">
                  <w:pPr>
                    <w:rPr>
                      <w:sz w:val="18"/>
                      <w:szCs w:val="18"/>
                    </w:rPr>
                  </w:pPr>
                  <w:r w:rsidRPr="0004542C">
                    <w:rPr>
                      <w:rFonts w:cs="Arial"/>
                      <w:sz w:val="18"/>
                      <w:szCs w:val="18"/>
                    </w:rPr>
                    <w:t>&gt;</w:t>
                  </w:r>
                  <w:r w:rsidR="00271812" w:rsidRPr="0004542C">
                    <w:rPr>
                      <w:rFonts w:cs="Arial"/>
                      <w:sz w:val="18"/>
                      <w:szCs w:val="18"/>
                    </w:rPr>
                    <w:t>70</w:t>
                  </w:r>
                  <w:r w:rsidRPr="0004542C">
                    <w:rPr>
                      <w:rFonts w:cs="Arial"/>
                      <w:sz w:val="18"/>
                      <w:szCs w:val="18"/>
                    </w:rPr>
                    <w:t>% to ≤</w:t>
                  </w:r>
                  <w:r w:rsidR="00271812" w:rsidRPr="0004542C">
                    <w:rPr>
                      <w:rFonts w:cs="Arial"/>
                      <w:sz w:val="18"/>
                      <w:szCs w:val="18"/>
                    </w:rPr>
                    <w:t>90</w:t>
                  </w:r>
                  <w:r w:rsidRPr="0004542C">
                    <w:rPr>
                      <w:rFonts w:cs="Arial"/>
                      <w:sz w:val="18"/>
                      <w:szCs w:val="18"/>
                    </w:rPr>
                    <w:t>%</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A887DC8" w14:textId="77777777" w:rsidR="007D7418" w:rsidRPr="0004542C" w:rsidRDefault="007D7418" w:rsidP="00271812">
                  <w:pPr>
                    <w:rPr>
                      <w:sz w:val="18"/>
                      <w:szCs w:val="18"/>
                    </w:rPr>
                  </w:pPr>
                  <w:r w:rsidRPr="0004542C">
                    <w:rPr>
                      <w:rFonts w:cs="Arial"/>
                      <w:sz w:val="18"/>
                      <w:szCs w:val="18"/>
                    </w:rPr>
                    <w:t>≤</w:t>
                  </w:r>
                  <w:r w:rsidR="00271812" w:rsidRPr="0004542C">
                    <w:rPr>
                      <w:rFonts w:cs="Arial"/>
                      <w:sz w:val="18"/>
                      <w:szCs w:val="18"/>
                    </w:rPr>
                    <w:t>70</w:t>
                  </w:r>
                  <w:r w:rsidRPr="0004542C">
                    <w:rPr>
                      <w:rFonts w:cs="Arial"/>
                      <w:sz w:val="18"/>
                      <w:szCs w:val="18"/>
                    </w:rPr>
                    <w:t>%</w:t>
                  </w:r>
                </w:p>
              </w:tc>
            </w:tr>
          </w:tbl>
          <w:p w14:paraId="1B73AC31" w14:textId="77777777" w:rsidR="00481B89" w:rsidRDefault="00481B89" w:rsidP="000A5BA4">
            <w:pPr>
              <w:pStyle w:val="Table"/>
              <w:spacing w:before="100" w:after="100"/>
              <w:rPr>
                <w:sz w:val="18"/>
                <w:szCs w:val="18"/>
              </w:rPr>
            </w:pPr>
            <w:r>
              <w:rPr>
                <w:sz w:val="18"/>
                <w:szCs w:val="18"/>
              </w:rPr>
              <w:t xml:space="preserve">Please refer to paragraph 82 onwards in the PCG for examples and more details in calculating each of the 3 risk factors. </w:t>
            </w:r>
          </w:p>
          <w:p w14:paraId="3FA1858E" w14:textId="77777777" w:rsidR="00271812" w:rsidRDefault="00271812" w:rsidP="000A5BA4">
            <w:pPr>
              <w:pStyle w:val="Table"/>
              <w:spacing w:before="100" w:after="100"/>
              <w:rPr>
                <w:sz w:val="18"/>
                <w:szCs w:val="18"/>
              </w:rPr>
            </w:pPr>
            <w:r>
              <w:rPr>
                <w:sz w:val="18"/>
                <w:szCs w:val="18"/>
              </w:rPr>
              <w:t>An IPP can self-assess their profi</w:t>
            </w:r>
            <w:r w:rsidR="00F86541">
              <w:rPr>
                <w:sz w:val="18"/>
                <w:szCs w:val="18"/>
              </w:rPr>
              <w:t>t</w:t>
            </w:r>
            <w:r>
              <w:rPr>
                <w:sz w:val="18"/>
                <w:szCs w:val="18"/>
              </w:rPr>
              <w:t xml:space="preserve"> allocation arrangement using </w:t>
            </w:r>
          </w:p>
          <w:p w14:paraId="328D6371" w14:textId="77777777" w:rsidR="00271812" w:rsidRDefault="00271812" w:rsidP="00271812">
            <w:pPr>
              <w:pStyle w:val="Table"/>
              <w:numPr>
                <w:ilvl w:val="0"/>
                <w:numId w:val="9"/>
              </w:numPr>
              <w:spacing w:before="100" w:after="100"/>
              <w:rPr>
                <w:sz w:val="18"/>
                <w:szCs w:val="18"/>
              </w:rPr>
            </w:pPr>
            <w:r>
              <w:rPr>
                <w:sz w:val="18"/>
                <w:szCs w:val="18"/>
              </w:rPr>
              <w:t>Risk assessment factor 1 and 2 only, or</w:t>
            </w:r>
          </w:p>
          <w:p w14:paraId="752CAB22" w14:textId="77777777" w:rsidR="00271812" w:rsidRDefault="00271812" w:rsidP="00271812">
            <w:pPr>
              <w:pStyle w:val="Table"/>
              <w:numPr>
                <w:ilvl w:val="0"/>
                <w:numId w:val="9"/>
              </w:numPr>
              <w:spacing w:before="100" w:after="100"/>
              <w:rPr>
                <w:sz w:val="18"/>
                <w:szCs w:val="18"/>
              </w:rPr>
            </w:pPr>
            <w:r>
              <w:rPr>
                <w:sz w:val="18"/>
                <w:szCs w:val="18"/>
              </w:rPr>
              <w:t xml:space="preserve">All 3 risk assessment factors </w:t>
            </w:r>
          </w:p>
          <w:p w14:paraId="4DAE2353" w14:textId="77777777" w:rsidR="00271812" w:rsidRPr="00271812" w:rsidRDefault="00271812" w:rsidP="000A5BA4">
            <w:pPr>
              <w:pStyle w:val="Table"/>
              <w:spacing w:before="100" w:after="100"/>
              <w:rPr>
                <w:rFonts w:cs="Arial"/>
                <w:sz w:val="18"/>
                <w:szCs w:val="18"/>
                <w:shd w:val="clear" w:color="auto" w:fill="FFFFFF"/>
              </w:rPr>
            </w:pPr>
            <w:r w:rsidRPr="00271812">
              <w:rPr>
                <w:rFonts w:cs="Arial"/>
                <w:sz w:val="18"/>
                <w:szCs w:val="18"/>
                <w:shd w:val="clear" w:color="auto" w:fill="FFFFFF"/>
              </w:rPr>
              <w:t>The following table sets out the risk rating depending on whether you risk assess against two factors or all three factors in the table above:</w:t>
            </w:r>
          </w:p>
          <w:p w14:paraId="2C8DF741" w14:textId="77777777" w:rsidR="00271812" w:rsidRPr="00271812" w:rsidRDefault="00271812" w:rsidP="000A5BA4">
            <w:pPr>
              <w:pStyle w:val="Table"/>
              <w:spacing w:before="100" w:after="100"/>
              <w:rPr>
                <w:rFonts w:cs="Arial"/>
                <w:sz w:val="18"/>
                <w:szCs w:val="18"/>
                <w:shd w:val="clear" w:color="auto" w:fill="FFFFFF"/>
              </w:rPr>
            </w:pPr>
          </w:p>
          <w:tbl>
            <w:tblPr>
              <w:tblW w:w="626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05"/>
              <w:gridCol w:w="1559"/>
              <w:gridCol w:w="1701"/>
              <w:gridCol w:w="1701"/>
            </w:tblGrid>
            <w:tr w:rsidR="00271812" w:rsidRPr="00271812" w14:paraId="4C436E51" w14:textId="77777777" w:rsidTr="00271812">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240" w:type="dxa"/>
                    <w:bottom w:w="120" w:type="dxa"/>
                    <w:right w:w="120" w:type="dxa"/>
                  </w:tcMar>
                  <w:hideMark/>
                </w:tcPr>
                <w:p w14:paraId="5D5332C2" w14:textId="77777777" w:rsidR="00271812" w:rsidRPr="00271812" w:rsidRDefault="00271812" w:rsidP="00271812">
                  <w:pPr>
                    <w:rPr>
                      <w:rFonts w:eastAsia="Times New Roman" w:cs="Arial"/>
                      <w:sz w:val="18"/>
                      <w:szCs w:val="18"/>
                      <w:lang w:eastAsia="en-AU"/>
                    </w:rPr>
                  </w:pPr>
                  <w:r w:rsidRPr="00271812">
                    <w:rPr>
                      <w:rFonts w:eastAsia="Times New Roman" w:cs="Arial"/>
                      <w:sz w:val="18"/>
                      <w:szCs w:val="18"/>
                      <w:lang w:eastAsia="en-AU"/>
                    </w:rPr>
                    <w:t>Risk zone</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BCF1484"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Risk level</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252F634"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Aggregate score against first two factors</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BBF219"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Aggregate of all three factors*</w:t>
                  </w:r>
                </w:p>
              </w:tc>
            </w:tr>
            <w:tr w:rsidR="00271812" w:rsidRPr="00271812" w14:paraId="2E8F9A38" w14:textId="77777777" w:rsidTr="00271812">
              <w:tc>
                <w:tcPr>
                  <w:tcW w:w="1305" w:type="dxa"/>
                  <w:tcBorders>
                    <w:top w:val="single" w:sz="6" w:space="0" w:color="DDDDDD"/>
                    <w:left w:val="single" w:sz="6" w:space="0" w:color="DDDDDD"/>
                    <w:bottom w:val="single" w:sz="6" w:space="0" w:color="DDDDDD"/>
                    <w:right w:val="single" w:sz="6" w:space="0" w:color="DDDDDD"/>
                  </w:tcBorders>
                  <w:shd w:val="clear" w:color="auto" w:fill="50B000"/>
                  <w:tcMar>
                    <w:top w:w="120" w:type="dxa"/>
                    <w:left w:w="240" w:type="dxa"/>
                    <w:bottom w:w="120" w:type="dxa"/>
                    <w:right w:w="120" w:type="dxa"/>
                  </w:tcMar>
                  <w:hideMark/>
                </w:tcPr>
                <w:p w14:paraId="51EBECF8" w14:textId="77777777" w:rsidR="00271812" w:rsidRPr="00271812" w:rsidRDefault="00271812" w:rsidP="00271812">
                  <w:pPr>
                    <w:rPr>
                      <w:rFonts w:eastAsia="Times New Roman" w:cs="Arial"/>
                      <w:sz w:val="18"/>
                      <w:szCs w:val="18"/>
                      <w:lang w:eastAsia="en-AU"/>
                    </w:rPr>
                  </w:pPr>
                  <w:r w:rsidRPr="00271812">
                    <w:rPr>
                      <w:rFonts w:eastAsia="Times New Roman" w:cs="Arial"/>
                      <w:sz w:val="18"/>
                      <w:szCs w:val="18"/>
                      <w:lang w:eastAsia="en-AU"/>
                    </w:rPr>
                    <w:t>Green</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2EED43D"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Low risk</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7F510272" w14:textId="77777777" w:rsidR="00271812" w:rsidRPr="00271812" w:rsidRDefault="00271812" w:rsidP="00271812">
                  <w:pPr>
                    <w:jc w:val="center"/>
                    <w:rPr>
                      <w:sz w:val="18"/>
                      <w:szCs w:val="18"/>
                    </w:rPr>
                  </w:pPr>
                  <w:r w:rsidRPr="00271812">
                    <w:rPr>
                      <w:rFonts w:cs="Arial"/>
                      <w:sz w:val="18"/>
                      <w:szCs w:val="18"/>
                    </w:rPr>
                    <w:t>≤7</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1D7CAE5" w14:textId="77777777" w:rsidR="00271812" w:rsidRPr="00271812" w:rsidRDefault="00271812" w:rsidP="00271812">
                  <w:pPr>
                    <w:jc w:val="center"/>
                    <w:rPr>
                      <w:rFonts w:eastAsia="Times New Roman" w:cs="Arial"/>
                      <w:sz w:val="18"/>
                      <w:szCs w:val="18"/>
                      <w:lang w:eastAsia="en-AU"/>
                    </w:rPr>
                  </w:pPr>
                  <w:r w:rsidRPr="00271812">
                    <w:rPr>
                      <w:rFonts w:cs="Arial"/>
                      <w:sz w:val="18"/>
                      <w:szCs w:val="18"/>
                    </w:rPr>
                    <w:t>≤10</w:t>
                  </w:r>
                </w:p>
              </w:tc>
            </w:tr>
            <w:tr w:rsidR="00271812" w:rsidRPr="00271812" w14:paraId="0D9164F3" w14:textId="77777777" w:rsidTr="00271812">
              <w:tc>
                <w:tcPr>
                  <w:tcW w:w="1305" w:type="dxa"/>
                  <w:tcBorders>
                    <w:top w:val="single" w:sz="6" w:space="0" w:color="DDDDDD"/>
                    <w:left w:val="single" w:sz="6" w:space="0" w:color="DDDDDD"/>
                    <w:bottom w:val="single" w:sz="6" w:space="0" w:color="DDDDDD"/>
                    <w:right w:val="single" w:sz="6" w:space="0" w:color="DDDDDD"/>
                  </w:tcBorders>
                  <w:shd w:val="clear" w:color="auto" w:fill="FF8C00"/>
                  <w:tcMar>
                    <w:top w:w="120" w:type="dxa"/>
                    <w:left w:w="240" w:type="dxa"/>
                    <w:bottom w:w="120" w:type="dxa"/>
                    <w:right w:w="120" w:type="dxa"/>
                  </w:tcMar>
                  <w:hideMark/>
                </w:tcPr>
                <w:p w14:paraId="561C26D1" w14:textId="77777777" w:rsidR="00271812" w:rsidRPr="00271812" w:rsidRDefault="00271812" w:rsidP="00271812">
                  <w:pPr>
                    <w:rPr>
                      <w:rFonts w:eastAsia="Times New Roman" w:cs="Arial"/>
                      <w:sz w:val="18"/>
                      <w:szCs w:val="18"/>
                      <w:lang w:eastAsia="en-AU"/>
                    </w:rPr>
                  </w:pPr>
                  <w:r w:rsidRPr="00271812">
                    <w:rPr>
                      <w:rFonts w:eastAsia="Times New Roman" w:cs="Arial"/>
                      <w:sz w:val="18"/>
                      <w:szCs w:val="18"/>
                      <w:lang w:eastAsia="en-AU"/>
                    </w:rPr>
                    <w:t>Amber</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09FCEA"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Moderate risk</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7386071"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8</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D8BB2C"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11 &amp; 12</w:t>
                  </w:r>
                </w:p>
              </w:tc>
            </w:tr>
            <w:tr w:rsidR="00271812" w:rsidRPr="00271812" w14:paraId="206FEC33" w14:textId="77777777" w:rsidTr="00271812">
              <w:tc>
                <w:tcPr>
                  <w:tcW w:w="1305" w:type="dxa"/>
                  <w:tcBorders>
                    <w:top w:val="single" w:sz="6" w:space="0" w:color="DDDDDD"/>
                    <w:left w:val="single" w:sz="6" w:space="0" w:color="DDDDDD"/>
                    <w:bottom w:val="single" w:sz="6" w:space="0" w:color="DDDDDD"/>
                    <w:right w:val="single" w:sz="6" w:space="0" w:color="DDDDDD"/>
                  </w:tcBorders>
                  <w:shd w:val="clear" w:color="auto" w:fill="FF0000"/>
                  <w:tcMar>
                    <w:top w:w="120" w:type="dxa"/>
                    <w:left w:w="240" w:type="dxa"/>
                    <w:bottom w:w="120" w:type="dxa"/>
                    <w:right w:w="120" w:type="dxa"/>
                  </w:tcMar>
                  <w:hideMark/>
                </w:tcPr>
                <w:p w14:paraId="1DDA6937" w14:textId="77777777" w:rsidR="00271812" w:rsidRPr="00271812" w:rsidRDefault="00271812" w:rsidP="00271812">
                  <w:pPr>
                    <w:rPr>
                      <w:rFonts w:eastAsia="Times New Roman" w:cs="Arial"/>
                      <w:sz w:val="18"/>
                      <w:szCs w:val="18"/>
                      <w:lang w:eastAsia="en-AU"/>
                    </w:rPr>
                  </w:pPr>
                  <w:r w:rsidRPr="00271812">
                    <w:rPr>
                      <w:rFonts w:eastAsia="Times New Roman" w:cs="Arial"/>
                      <w:sz w:val="18"/>
                      <w:szCs w:val="18"/>
                      <w:lang w:eastAsia="en-AU"/>
                    </w:rPr>
                    <w:t>Red</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F031987" w14:textId="77777777" w:rsidR="00271812" w:rsidRPr="00271812" w:rsidRDefault="00271812" w:rsidP="00271812">
                  <w:pPr>
                    <w:jc w:val="center"/>
                    <w:rPr>
                      <w:rFonts w:eastAsia="Times New Roman" w:cs="Arial"/>
                      <w:sz w:val="18"/>
                      <w:szCs w:val="18"/>
                      <w:lang w:eastAsia="en-AU"/>
                    </w:rPr>
                  </w:pPr>
                  <w:r w:rsidRPr="00271812">
                    <w:rPr>
                      <w:rFonts w:eastAsia="Times New Roman" w:cs="Arial"/>
                      <w:sz w:val="18"/>
                      <w:szCs w:val="18"/>
                      <w:lang w:eastAsia="en-AU"/>
                    </w:rPr>
                    <w:t>High risk</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4F732E0" w14:textId="77777777" w:rsidR="00271812" w:rsidRPr="00271812" w:rsidRDefault="00271812" w:rsidP="00271812">
                  <w:pPr>
                    <w:jc w:val="center"/>
                    <w:rPr>
                      <w:rFonts w:eastAsia="Times New Roman" w:cs="Arial"/>
                      <w:sz w:val="18"/>
                      <w:szCs w:val="18"/>
                      <w:lang w:eastAsia="en-AU"/>
                    </w:rPr>
                  </w:pPr>
                  <w:r w:rsidRPr="00271812">
                    <w:rPr>
                      <w:rFonts w:cs="Arial"/>
                      <w:sz w:val="18"/>
                      <w:szCs w:val="18"/>
                    </w:rPr>
                    <w:t>≥9</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6A678541" w14:textId="77777777" w:rsidR="00271812" w:rsidRPr="00271812" w:rsidRDefault="00271812" w:rsidP="00271812">
                  <w:pPr>
                    <w:jc w:val="center"/>
                    <w:rPr>
                      <w:rFonts w:eastAsia="Times New Roman" w:cs="Arial"/>
                      <w:sz w:val="18"/>
                      <w:szCs w:val="18"/>
                      <w:lang w:eastAsia="en-AU"/>
                    </w:rPr>
                  </w:pPr>
                  <w:r w:rsidRPr="00271812">
                    <w:rPr>
                      <w:rFonts w:cs="Arial"/>
                      <w:sz w:val="18"/>
                      <w:szCs w:val="18"/>
                    </w:rPr>
                    <w:t>≥13</w:t>
                  </w:r>
                </w:p>
              </w:tc>
            </w:tr>
          </w:tbl>
          <w:p w14:paraId="00C5355A" w14:textId="77777777" w:rsidR="00F86541" w:rsidRDefault="00F86541" w:rsidP="00F86541">
            <w:pPr>
              <w:pStyle w:val="Table"/>
              <w:spacing w:before="100" w:after="100"/>
              <w:rPr>
                <w:sz w:val="18"/>
                <w:szCs w:val="18"/>
              </w:rPr>
            </w:pPr>
            <w:r>
              <w:rPr>
                <w:sz w:val="18"/>
                <w:szCs w:val="18"/>
              </w:rPr>
              <w:t xml:space="preserve"> In making an assessment of each risk assessment factor and the overall risk assessment: </w:t>
            </w:r>
          </w:p>
          <w:p w14:paraId="289C627D" w14:textId="77777777" w:rsidR="00F86541" w:rsidRDefault="00F86541" w:rsidP="00F86541">
            <w:pPr>
              <w:pStyle w:val="Table"/>
              <w:numPr>
                <w:ilvl w:val="0"/>
                <w:numId w:val="10"/>
              </w:numPr>
              <w:spacing w:before="100" w:after="100"/>
              <w:rPr>
                <w:sz w:val="18"/>
                <w:szCs w:val="18"/>
              </w:rPr>
            </w:pPr>
            <w:r>
              <w:rPr>
                <w:sz w:val="18"/>
                <w:szCs w:val="18"/>
              </w:rPr>
              <w:t xml:space="preserve">IPPs working part time should adjust their profit allocation to a full-time equivalent to self-assess their level of risk as part of risk assessment factor 2. </w:t>
            </w:r>
          </w:p>
          <w:p w14:paraId="127B1002" w14:textId="40A2A1EF" w:rsidR="00F86541" w:rsidRDefault="00F86541" w:rsidP="00F86541">
            <w:pPr>
              <w:pStyle w:val="Table"/>
              <w:numPr>
                <w:ilvl w:val="0"/>
                <w:numId w:val="10"/>
              </w:numPr>
              <w:spacing w:before="100" w:after="100"/>
              <w:rPr>
                <w:sz w:val="18"/>
                <w:szCs w:val="18"/>
              </w:rPr>
            </w:pPr>
            <w:r>
              <w:rPr>
                <w:sz w:val="18"/>
                <w:szCs w:val="18"/>
              </w:rPr>
              <w:t>All components of remuneration are to be included in the risk assessment, including cash, super</w:t>
            </w:r>
            <w:r w:rsidR="000F53D0">
              <w:rPr>
                <w:sz w:val="18"/>
                <w:szCs w:val="18"/>
              </w:rPr>
              <w:t>annuation</w:t>
            </w:r>
            <w:r>
              <w:rPr>
                <w:sz w:val="18"/>
                <w:szCs w:val="18"/>
              </w:rPr>
              <w:t>, fringe benefits and any other non-cash benefits</w:t>
            </w:r>
          </w:p>
          <w:p w14:paraId="1621DD5B" w14:textId="32CDE5A0" w:rsidR="00F86541" w:rsidRDefault="00F86541" w:rsidP="00F86541">
            <w:pPr>
              <w:pStyle w:val="Table"/>
              <w:numPr>
                <w:ilvl w:val="0"/>
                <w:numId w:val="10"/>
              </w:numPr>
              <w:spacing w:before="100" w:after="100"/>
              <w:rPr>
                <w:sz w:val="18"/>
                <w:szCs w:val="18"/>
              </w:rPr>
            </w:pPr>
            <w:r>
              <w:rPr>
                <w:sz w:val="18"/>
                <w:szCs w:val="18"/>
              </w:rPr>
              <w:t>Where fringe benefits tax is paid by the firm</w:t>
            </w:r>
            <w:r w:rsidR="00485A08">
              <w:rPr>
                <w:sz w:val="18"/>
                <w:szCs w:val="18"/>
              </w:rPr>
              <w:t>,</w:t>
            </w:r>
            <w:r>
              <w:rPr>
                <w:sz w:val="18"/>
                <w:szCs w:val="18"/>
              </w:rPr>
              <w:t xml:space="preserve"> the tax paid will be included in calculating the risk assessment factor </w:t>
            </w:r>
          </w:p>
          <w:p w14:paraId="2C35A5DE" w14:textId="77777777" w:rsidR="00271812" w:rsidRDefault="00F86541" w:rsidP="000A5BA4">
            <w:pPr>
              <w:pStyle w:val="Table"/>
              <w:numPr>
                <w:ilvl w:val="0"/>
                <w:numId w:val="10"/>
              </w:numPr>
              <w:spacing w:before="100" w:after="100"/>
              <w:rPr>
                <w:sz w:val="18"/>
                <w:szCs w:val="18"/>
              </w:rPr>
            </w:pPr>
            <w:r w:rsidRPr="0004542C">
              <w:rPr>
                <w:sz w:val="18"/>
                <w:szCs w:val="18"/>
              </w:rPr>
              <w:t xml:space="preserve">The ATO recognises there may be a number of other relevant factors pertaining to individual arrangements which will affect an IPP's self-assessed risk rating. These may include timing differences, retention of income within a firm in a particular year for commercial purposes, access to tax concessions and provisions including accelerated depreciation and instant asset write-off, and other extraordinary business factors. </w:t>
            </w:r>
            <w:bookmarkStart w:id="7" w:name="P75"/>
            <w:bookmarkStart w:id="8" w:name="#P75"/>
            <w:bookmarkEnd w:id="7"/>
            <w:bookmarkEnd w:id="8"/>
            <w:r w:rsidRPr="0004542C">
              <w:rPr>
                <w:sz w:val="18"/>
                <w:szCs w:val="18"/>
              </w:rPr>
              <w:t xml:space="preserve">Where extraordinary factors exist, </w:t>
            </w:r>
            <w:r>
              <w:rPr>
                <w:sz w:val="18"/>
                <w:szCs w:val="18"/>
              </w:rPr>
              <w:t xml:space="preserve">an IPP </w:t>
            </w:r>
            <w:r w:rsidRPr="0004542C">
              <w:rPr>
                <w:sz w:val="18"/>
                <w:szCs w:val="18"/>
              </w:rPr>
              <w:t xml:space="preserve">may wish to engage with the ATO to discuss </w:t>
            </w:r>
            <w:r>
              <w:rPr>
                <w:sz w:val="18"/>
                <w:szCs w:val="18"/>
              </w:rPr>
              <w:t xml:space="preserve">its </w:t>
            </w:r>
            <w:r w:rsidRPr="0004542C">
              <w:rPr>
                <w:sz w:val="18"/>
                <w:szCs w:val="18"/>
              </w:rPr>
              <w:t>circumstances.</w:t>
            </w:r>
          </w:p>
          <w:p w14:paraId="21290184" w14:textId="77777777" w:rsidR="00F86541" w:rsidRPr="00F86541" w:rsidRDefault="00F86541" w:rsidP="00F86541">
            <w:pPr>
              <w:pStyle w:val="Table"/>
              <w:numPr>
                <w:ilvl w:val="0"/>
                <w:numId w:val="10"/>
              </w:numPr>
              <w:spacing w:before="100" w:after="100"/>
              <w:rPr>
                <w:sz w:val="18"/>
                <w:szCs w:val="18"/>
              </w:rPr>
            </w:pPr>
            <w:r w:rsidRPr="00F86541">
              <w:rPr>
                <w:sz w:val="18"/>
                <w:szCs w:val="18"/>
              </w:rPr>
              <w:t xml:space="preserve">The first two risk assessment factors may be used (instead of all three) where it is impractical to accurately determine an appropriate commercial remuneration against which to benchmark. To be considered low risk (green zone), in that circumstance, </w:t>
            </w:r>
            <w:r w:rsidR="0081595E">
              <w:rPr>
                <w:sz w:val="18"/>
                <w:szCs w:val="18"/>
              </w:rPr>
              <w:t xml:space="preserve">the </w:t>
            </w:r>
            <w:r w:rsidRPr="00F86541">
              <w:rPr>
                <w:sz w:val="18"/>
                <w:szCs w:val="18"/>
              </w:rPr>
              <w:t>aggregate score for those two factors must be seven or less.</w:t>
            </w:r>
          </w:p>
          <w:p w14:paraId="3D2BE834" w14:textId="77777777" w:rsidR="00F86541" w:rsidRPr="00F86541" w:rsidRDefault="00F86541" w:rsidP="00F86541">
            <w:pPr>
              <w:pStyle w:val="Table"/>
              <w:numPr>
                <w:ilvl w:val="0"/>
                <w:numId w:val="10"/>
              </w:numPr>
              <w:spacing w:before="100" w:after="100"/>
              <w:rPr>
                <w:sz w:val="18"/>
                <w:szCs w:val="18"/>
              </w:rPr>
            </w:pPr>
            <w:r w:rsidRPr="00F86541">
              <w:rPr>
                <w:sz w:val="18"/>
                <w:szCs w:val="18"/>
              </w:rPr>
              <w:t>Where an IPP returns 100% of the profit, there is no need to assess against the other risk factors. The arrangement is low risk because none of the income is diverted to other entities.</w:t>
            </w:r>
          </w:p>
          <w:p w14:paraId="5877DA69" w14:textId="50BB1478" w:rsidR="0031079E" w:rsidRPr="00271812" w:rsidRDefault="00481B89" w:rsidP="000A5BA4">
            <w:pPr>
              <w:pStyle w:val="Table"/>
              <w:spacing w:before="100" w:after="100"/>
              <w:rPr>
                <w:sz w:val="18"/>
                <w:szCs w:val="18"/>
              </w:rPr>
            </w:pPr>
            <w:r>
              <w:rPr>
                <w:sz w:val="18"/>
                <w:szCs w:val="18"/>
              </w:rPr>
              <w:lastRenderedPageBreak/>
              <w:t xml:space="preserve">The Appendix of the PCG provides </w:t>
            </w:r>
            <w:r w:rsidR="00485A08">
              <w:rPr>
                <w:sz w:val="18"/>
                <w:szCs w:val="18"/>
              </w:rPr>
              <w:t>seven</w:t>
            </w:r>
            <w:r w:rsidR="0031079E">
              <w:rPr>
                <w:sz w:val="18"/>
                <w:szCs w:val="18"/>
              </w:rPr>
              <w:t xml:space="preserve"> </w:t>
            </w:r>
            <w:r>
              <w:rPr>
                <w:sz w:val="18"/>
                <w:szCs w:val="18"/>
              </w:rPr>
              <w:t xml:space="preserve">case studies on how to calculate and come to a risk zone. </w:t>
            </w:r>
            <w:r w:rsidR="00472193">
              <w:rPr>
                <w:sz w:val="18"/>
                <w:szCs w:val="18"/>
              </w:rPr>
              <w:t>If you have completed your risk zone calculations, go to question 5</w:t>
            </w:r>
          </w:p>
        </w:tc>
        <w:tc>
          <w:tcPr>
            <w:tcW w:w="567" w:type="dxa"/>
            <w:tcBorders>
              <w:top w:val="single" w:sz="4" w:space="0" w:color="939598"/>
              <w:left w:val="single" w:sz="4" w:space="0" w:color="939598"/>
              <w:bottom w:val="single" w:sz="4" w:space="0" w:color="939598"/>
              <w:right w:val="single" w:sz="4" w:space="0" w:color="939598"/>
            </w:tcBorders>
            <w:vAlign w:val="center"/>
          </w:tcPr>
          <w:p w14:paraId="0902C344" w14:textId="77777777" w:rsidR="007D7418" w:rsidRPr="00271812" w:rsidRDefault="007D7418"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4A09C85E" w14:textId="77777777" w:rsidR="007D7418" w:rsidRPr="00271812" w:rsidRDefault="007D7418" w:rsidP="000A5BA4">
            <w:pPr>
              <w:pStyle w:val="Table"/>
              <w:spacing w:before="100" w:after="100"/>
              <w:jc w:val="center"/>
              <w:rPr>
                <w:rFonts w:cs="Arial"/>
                <w:sz w:val="18"/>
                <w:szCs w:val="18"/>
              </w:rPr>
            </w:pPr>
          </w:p>
        </w:tc>
      </w:tr>
      <w:tr w:rsidR="00472193" w:rsidRPr="00841A33" w14:paraId="29AC7004" w14:textId="77777777" w:rsidTr="00472193">
        <w:tc>
          <w:tcPr>
            <w:tcW w:w="9356" w:type="dxa"/>
            <w:tcBorders>
              <w:top w:val="nil"/>
              <w:left w:val="single" w:sz="4" w:space="0" w:color="C0C0C0"/>
              <w:bottom w:val="single" w:sz="4" w:space="0" w:color="939598"/>
              <w:right w:val="single" w:sz="4" w:space="0" w:color="C0C0C0"/>
            </w:tcBorders>
            <w:shd w:val="clear" w:color="auto" w:fill="051C3C"/>
          </w:tcPr>
          <w:p w14:paraId="046446C0" w14:textId="77777777" w:rsidR="00472193" w:rsidRPr="00841A33" w:rsidRDefault="00472193" w:rsidP="000A5BA4">
            <w:pPr>
              <w:pStyle w:val="Table"/>
              <w:rPr>
                <w:sz w:val="18"/>
                <w:szCs w:val="18"/>
              </w:rPr>
            </w:pPr>
            <w:r>
              <w:rPr>
                <w:sz w:val="18"/>
                <w:szCs w:val="18"/>
              </w:rPr>
              <w:t>5</w:t>
            </w:r>
            <w:r w:rsidRPr="00841A33">
              <w:rPr>
                <w:sz w:val="18"/>
                <w:szCs w:val="18"/>
              </w:rPr>
              <w:t xml:space="preserve">. </w:t>
            </w:r>
            <w:r w:rsidR="000A5BA4">
              <w:rPr>
                <w:sz w:val="18"/>
                <w:szCs w:val="18"/>
              </w:rPr>
              <w:t>Green Zone under PCG 2021/4</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15FAF743" w14:textId="77777777" w:rsidR="00472193" w:rsidRPr="00472193" w:rsidRDefault="00472193" w:rsidP="00472193">
            <w:pPr>
              <w:pStyle w:val="Table"/>
              <w:rPr>
                <w:rFonts w:cs="Arial"/>
                <w:sz w:val="18"/>
                <w:szCs w:val="18"/>
              </w:rPr>
            </w:pPr>
            <w:r w:rsidRPr="00472193">
              <w:rPr>
                <w:rFonts w:cs="Arial"/>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57EC9211" w14:textId="77777777" w:rsidR="00472193" w:rsidRPr="00472193" w:rsidRDefault="00472193" w:rsidP="00472193">
            <w:pPr>
              <w:pStyle w:val="Table"/>
              <w:rPr>
                <w:rFonts w:cs="Arial"/>
                <w:sz w:val="18"/>
                <w:szCs w:val="18"/>
              </w:rPr>
            </w:pPr>
            <w:r w:rsidRPr="00472193">
              <w:rPr>
                <w:rFonts w:cs="Arial"/>
                <w:sz w:val="18"/>
                <w:szCs w:val="18"/>
              </w:rPr>
              <w:t>No</w:t>
            </w:r>
          </w:p>
        </w:tc>
      </w:tr>
      <w:tr w:rsidR="00472193" w:rsidRPr="00841A33" w14:paraId="4B94CBE8" w14:textId="77777777" w:rsidTr="00472193">
        <w:tc>
          <w:tcPr>
            <w:tcW w:w="9356" w:type="dxa"/>
            <w:tcBorders>
              <w:top w:val="nil"/>
              <w:left w:val="single" w:sz="4" w:space="0" w:color="C0C0C0"/>
              <w:bottom w:val="single" w:sz="4" w:space="0" w:color="939598"/>
              <w:right w:val="single" w:sz="4" w:space="0" w:color="C0C0C0"/>
            </w:tcBorders>
          </w:tcPr>
          <w:p w14:paraId="57521B20" w14:textId="77777777" w:rsidR="00472193" w:rsidRDefault="00472193" w:rsidP="000A5BA4">
            <w:pPr>
              <w:pStyle w:val="Table"/>
              <w:spacing w:before="100" w:after="100"/>
              <w:rPr>
                <w:sz w:val="18"/>
                <w:szCs w:val="18"/>
              </w:rPr>
            </w:pPr>
            <w:r>
              <w:rPr>
                <w:sz w:val="18"/>
                <w:szCs w:val="18"/>
              </w:rPr>
              <w:t xml:space="preserve">After performing the risk assessment, </w:t>
            </w:r>
            <w:r w:rsidRPr="000A5BA4">
              <w:rPr>
                <w:b/>
                <w:sz w:val="18"/>
                <w:szCs w:val="18"/>
              </w:rPr>
              <w:t>is your IPP and its arrangement within the green zone?</w:t>
            </w:r>
            <w:r>
              <w:rPr>
                <w:sz w:val="18"/>
                <w:szCs w:val="18"/>
              </w:rPr>
              <w:t xml:space="preserve"> If yes, no further action is required and you can expect the ATO would not apply compliance resource</w:t>
            </w:r>
            <w:r w:rsidR="00A91624">
              <w:rPr>
                <w:sz w:val="18"/>
                <w:szCs w:val="18"/>
              </w:rPr>
              <w:t>s</w:t>
            </w:r>
            <w:r>
              <w:rPr>
                <w:sz w:val="18"/>
                <w:szCs w:val="18"/>
              </w:rPr>
              <w:t xml:space="preserve"> to the arrangement allocating profits, unless there are exceptional circumstances </w:t>
            </w:r>
            <w:r w:rsidR="000A5BA4">
              <w:rPr>
                <w:sz w:val="18"/>
                <w:szCs w:val="18"/>
              </w:rPr>
              <w:t>such as</w:t>
            </w:r>
            <w:r w:rsidR="00867444">
              <w:rPr>
                <w:sz w:val="18"/>
                <w:szCs w:val="18"/>
              </w:rPr>
              <w:t>:</w:t>
            </w:r>
          </w:p>
          <w:p w14:paraId="03E77405" w14:textId="77777777" w:rsidR="000A5BA4" w:rsidRDefault="000A5BA4" w:rsidP="000A5BA4">
            <w:pPr>
              <w:pStyle w:val="Table"/>
              <w:numPr>
                <w:ilvl w:val="0"/>
                <w:numId w:val="12"/>
              </w:numPr>
              <w:spacing w:before="100" w:after="100"/>
              <w:rPr>
                <w:sz w:val="18"/>
                <w:szCs w:val="18"/>
              </w:rPr>
            </w:pPr>
            <w:r>
              <w:rPr>
                <w:sz w:val="18"/>
                <w:szCs w:val="18"/>
              </w:rPr>
              <w:t>The ATO not being satisfied with the self-assessment of risk</w:t>
            </w:r>
          </w:p>
          <w:p w14:paraId="615A8BAD" w14:textId="77777777" w:rsidR="000A5BA4" w:rsidRDefault="000A5BA4" w:rsidP="000A5BA4">
            <w:pPr>
              <w:pStyle w:val="Table"/>
              <w:numPr>
                <w:ilvl w:val="0"/>
                <w:numId w:val="12"/>
              </w:numPr>
              <w:spacing w:before="100" w:after="100"/>
              <w:rPr>
                <w:sz w:val="18"/>
                <w:szCs w:val="18"/>
              </w:rPr>
            </w:pPr>
            <w:r>
              <w:rPr>
                <w:sz w:val="18"/>
                <w:szCs w:val="18"/>
              </w:rPr>
              <w:t>There are high-risk features</w:t>
            </w:r>
          </w:p>
          <w:p w14:paraId="69AD5DF6" w14:textId="77777777" w:rsidR="000A5BA4" w:rsidRDefault="000A5BA4" w:rsidP="000A5BA4">
            <w:pPr>
              <w:pStyle w:val="Table"/>
              <w:numPr>
                <w:ilvl w:val="0"/>
                <w:numId w:val="12"/>
              </w:numPr>
              <w:spacing w:before="100" w:after="100"/>
              <w:rPr>
                <w:sz w:val="18"/>
                <w:szCs w:val="18"/>
              </w:rPr>
            </w:pPr>
            <w:r>
              <w:rPr>
                <w:sz w:val="18"/>
                <w:szCs w:val="18"/>
              </w:rPr>
              <w:t>There i</w:t>
            </w:r>
            <w:r w:rsidR="006A1445">
              <w:rPr>
                <w:sz w:val="18"/>
                <w:szCs w:val="18"/>
              </w:rPr>
              <w:t xml:space="preserve">s a change in the arrangement </w:t>
            </w:r>
            <w:r w:rsidR="006A1445" w:rsidRPr="0071272C">
              <w:rPr>
                <w:sz w:val="18"/>
                <w:szCs w:val="18"/>
              </w:rPr>
              <w:t>c</w:t>
            </w:r>
            <w:r w:rsidRPr="0071272C">
              <w:rPr>
                <w:sz w:val="18"/>
                <w:szCs w:val="18"/>
              </w:rPr>
              <w:t>a</w:t>
            </w:r>
            <w:r w:rsidR="006A1445" w:rsidRPr="0071272C">
              <w:rPr>
                <w:sz w:val="18"/>
                <w:szCs w:val="18"/>
              </w:rPr>
              <w:t>u</w:t>
            </w:r>
            <w:r w:rsidRPr="0071272C">
              <w:rPr>
                <w:sz w:val="18"/>
                <w:szCs w:val="18"/>
              </w:rPr>
              <w:t>sing</w:t>
            </w:r>
            <w:r>
              <w:rPr>
                <w:sz w:val="18"/>
                <w:szCs w:val="18"/>
              </w:rPr>
              <w:t xml:space="preserve"> a shift towards the border of compliance </w:t>
            </w:r>
          </w:p>
          <w:p w14:paraId="3AFA98B5" w14:textId="77777777" w:rsidR="000A5BA4" w:rsidRDefault="000A5BA4" w:rsidP="000A5BA4">
            <w:pPr>
              <w:pStyle w:val="Table"/>
              <w:numPr>
                <w:ilvl w:val="0"/>
                <w:numId w:val="12"/>
              </w:numPr>
              <w:spacing w:before="100" w:after="100"/>
              <w:rPr>
                <w:sz w:val="18"/>
                <w:szCs w:val="18"/>
              </w:rPr>
            </w:pPr>
            <w:r>
              <w:rPr>
                <w:sz w:val="18"/>
                <w:szCs w:val="18"/>
              </w:rPr>
              <w:t>The broader arrangement present a compliance risk (e.g. Division 7A)</w:t>
            </w:r>
          </w:p>
          <w:p w14:paraId="3AC138A3" w14:textId="77777777" w:rsidR="000A5BA4" w:rsidRDefault="000A5BA4" w:rsidP="000A5BA4">
            <w:pPr>
              <w:pStyle w:val="Table"/>
              <w:numPr>
                <w:ilvl w:val="0"/>
                <w:numId w:val="12"/>
              </w:numPr>
              <w:spacing w:before="100" w:after="100"/>
              <w:rPr>
                <w:sz w:val="18"/>
                <w:szCs w:val="18"/>
              </w:rPr>
            </w:pPr>
            <w:r>
              <w:rPr>
                <w:sz w:val="18"/>
                <w:szCs w:val="18"/>
              </w:rPr>
              <w:t>The arrangement is part of a broader set of circumstances being reviewed</w:t>
            </w:r>
          </w:p>
          <w:p w14:paraId="21A699BC" w14:textId="77777777" w:rsidR="000A5BA4" w:rsidRDefault="000A5BA4" w:rsidP="000A5BA4">
            <w:pPr>
              <w:pStyle w:val="Table"/>
              <w:numPr>
                <w:ilvl w:val="0"/>
                <w:numId w:val="12"/>
              </w:numPr>
              <w:spacing w:before="100" w:after="100"/>
              <w:rPr>
                <w:sz w:val="18"/>
                <w:szCs w:val="18"/>
              </w:rPr>
            </w:pPr>
            <w:r>
              <w:rPr>
                <w:sz w:val="18"/>
                <w:szCs w:val="18"/>
              </w:rPr>
              <w:t xml:space="preserve">Changes to the arrangement is not appropriately treated or disclosed. </w:t>
            </w:r>
          </w:p>
          <w:p w14:paraId="0F6496F1" w14:textId="77777777" w:rsidR="000A5BA4" w:rsidRDefault="000A5BA4" w:rsidP="000A5BA4">
            <w:pPr>
              <w:pStyle w:val="Table"/>
              <w:spacing w:before="100" w:after="100"/>
              <w:rPr>
                <w:sz w:val="18"/>
                <w:szCs w:val="18"/>
              </w:rPr>
            </w:pPr>
            <w:r>
              <w:rPr>
                <w:sz w:val="18"/>
                <w:szCs w:val="18"/>
              </w:rPr>
              <w:t xml:space="preserve">Where there is no material change, the ATO will </w:t>
            </w:r>
            <w:r w:rsidR="00A91624">
              <w:rPr>
                <w:sz w:val="18"/>
                <w:szCs w:val="18"/>
              </w:rPr>
              <w:t xml:space="preserve">generally only </w:t>
            </w:r>
            <w:r>
              <w:rPr>
                <w:sz w:val="18"/>
                <w:szCs w:val="18"/>
              </w:rPr>
              <w:t>apply compliance resources to</w:t>
            </w:r>
            <w:r w:rsidR="00A91624">
              <w:rPr>
                <w:sz w:val="18"/>
                <w:szCs w:val="18"/>
              </w:rPr>
              <w:t>:</w:t>
            </w:r>
          </w:p>
          <w:p w14:paraId="20FF66A2" w14:textId="77777777" w:rsidR="000A5BA4" w:rsidRDefault="000A5BA4" w:rsidP="000A5BA4">
            <w:pPr>
              <w:pStyle w:val="Table"/>
              <w:numPr>
                <w:ilvl w:val="0"/>
                <w:numId w:val="13"/>
              </w:numPr>
              <w:spacing w:before="100" w:after="100"/>
              <w:rPr>
                <w:sz w:val="18"/>
                <w:szCs w:val="18"/>
              </w:rPr>
            </w:pPr>
            <w:r>
              <w:rPr>
                <w:sz w:val="18"/>
                <w:szCs w:val="18"/>
              </w:rPr>
              <w:t xml:space="preserve">Confirm risk zone calculations </w:t>
            </w:r>
          </w:p>
          <w:p w14:paraId="0111087B" w14:textId="77777777" w:rsidR="000A5BA4" w:rsidRDefault="000A5BA4" w:rsidP="000A5BA4">
            <w:pPr>
              <w:pStyle w:val="Table"/>
              <w:numPr>
                <w:ilvl w:val="0"/>
                <w:numId w:val="13"/>
              </w:numPr>
              <w:spacing w:before="100" w:after="100"/>
              <w:rPr>
                <w:sz w:val="18"/>
                <w:szCs w:val="18"/>
              </w:rPr>
            </w:pPr>
            <w:r>
              <w:rPr>
                <w:sz w:val="18"/>
                <w:szCs w:val="18"/>
              </w:rPr>
              <w:t xml:space="preserve">Confirm the absence of risk factors </w:t>
            </w:r>
          </w:p>
          <w:p w14:paraId="057F0FEF" w14:textId="77777777" w:rsidR="000A5BA4" w:rsidRDefault="000A5BA4" w:rsidP="000A5BA4">
            <w:pPr>
              <w:pStyle w:val="Table"/>
              <w:numPr>
                <w:ilvl w:val="0"/>
                <w:numId w:val="13"/>
              </w:numPr>
              <w:spacing w:before="100" w:after="100"/>
              <w:rPr>
                <w:sz w:val="18"/>
                <w:szCs w:val="18"/>
              </w:rPr>
            </w:pPr>
            <w:r>
              <w:rPr>
                <w:sz w:val="18"/>
                <w:szCs w:val="18"/>
              </w:rPr>
              <w:t xml:space="preserve">Provide binding advice if requested </w:t>
            </w:r>
          </w:p>
          <w:p w14:paraId="7692EE9B" w14:textId="77777777" w:rsidR="000A5BA4" w:rsidRDefault="000A5BA4" w:rsidP="000A5BA4">
            <w:pPr>
              <w:pStyle w:val="Table"/>
              <w:spacing w:before="100" w:after="100"/>
              <w:rPr>
                <w:sz w:val="18"/>
                <w:szCs w:val="18"/>
              </w:rPr>
            </w:pPr>
            <w:r>
              <w:rPr>
                <w:sz w:val="18"/>
                <w:szCs w:val="18"/>
              </w:rPr>
              <w:t>You should document the answers to the above and the risk assessment factor and risk zone calculations to document your IPP is within the green</w:t>
            </w:r>
            <w:r w:rsidR="00867444">
              <w:rPr>
                <w:sz w:val="18"/>
                <w:szCs w:val="18"/>
              </w:rPr>
              <w:t xml:space="preserve"> </w:t>
            </w:r>
            <w:r>
              <w:rPr>
                <w:sz w:val="18"/>
                <w:szCs w:val="18"/>
              </w:rPr>
              <w:t xml:space="preserve">zone. </w:t>
            </w:r>
          </w:p>
          <w:p w14:paraId="7DD8B124" w14:textId="77777777" w:rsidR="00472193" w:rsidRPr="00841A33" w:rsidRDefault="000A5BA4" w:rsidP="00867444">
            <w:pPr>
              <w:pStyle w:val="Table"/>
              <w:spacing w:before="100" w:after="100"/>
              <w:rPr>
                <w:sz w:val="18"/>
                <w:szCs w:val="18"/>
              </w:rPr>
            </w:pPr>
            <w:r>
              <w:rPr>
                <w:sz w:val="18"/>
                <w:szCs w:val="18"/>
              </w:rPr>
              <w:t xml:space="preserve">If </w:t>
            </w:r>
            <w:r w:rsidR="00867444">
              <w:rPr>
                <w:sz w:val="18"/>
                <w:szCs w:val="18"/>
              </w:rPr>
              <w:t>your arrangement is not in the green zone</w:t>
            </w:r>
            <w:r>
              <w:rPr>
                <w:sz w:val="18"/>
                <w:szCs w:val="18"/>
              </w:rPr>
              <w:t>, go to Question 6</w:t>
            </w:r>
          </w:p>
        </w:tc>
        <w:tc>
          <w:tcPr>
            <w:tcW w:w="567" w:type="dxa"/>
            <w:tcBorders>
              <w:top w:val="single" w:sz="4" w:space="0" w:color="939598"/>
              <w:left w:val="single" w:sz="4" w:space="0" w:color="939598"/>
              <w:bottom w:val="single" w:sz="4" w:space="0" w:color="939598"/>
              <w:right w:val="single" w:sz="4" w:space="0" w:color="939598"/>
            </w:tcBorders>
            <w:vAlign w:val="center"/>
          </w:tcPr>
          <w:p w14:paraId="7D10A431" w14:textId="77777777" w:rsidR="00472193" w:rsidRPr="00841A33" w:rsidRDefault="00472193"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0277DE38" w14:textId="77777777" w:rsidR="00472193" w:rsidRPr="00841A33" w:rsidRDefault="00472193" w:rsidP="000A5BA4">
            <w:pPr>
              <w:pStyle w:val="Table"/>
              <w:spacing w:before="100" w:after="100"/>
              <w:jc w:val="center"/>
              <w:rPr>
                <w:rFonts w:cs="Arial"/>
                <w:sz w:val="18"/>
                <w:szCs w:val="18"/>
              </w:rPr>
            </w:pPr>
          </w:p>
        </w:tc>
      </w:tr>
      <w:tr w:rsidR="000A5BA4" w:rsidRPr="00841A33" w14:paraId="1CF1EAF3" w14:textId="77777777" w:rsidTr="000A5BA4">
        <w:tc>
          <w:tcPr>
            <w:tcW w:w="9356" w:type="dxa"/>
            <w:tcBorders>
              <w:top w:val="nil"/>
              <w:left w:val="single" w:sz="4" w:space="0" w:color="C0C0C0"/>
              <w:bottom w:val="single" w:sz="4" w:space="0" w:color="939598"/>
              <w:right w:val="single" w:sz="4" w:space="0" w:color="C0C0C0"/>
            </w:tcBorders>
            <w:shd w:val="clear" w:color="auto" w:fill="051C3C"/>
          </w:tcPr>
          <w:p w14:paraId="265F5AA7" w14:textId="77777777" w:rsidR="000A5BA4" w:rsidRPr="00841A33" w:rsidRDefault="000A5BA4" w:rsidP="000A5BA4">
            <w:pPr>
              <w:pStyle w:val="Table"/>
              <w:spacing w:before="100" w:after="100"/>
              <w:rPr>
                <w:sz w:val="18"/>
                <w:szCs w:val="18"/>
              </w:rPr>
            </w:pPr>
            <w:r>
              <w:rPr>
                <w:sz w:val="18"/>
                <w:szCs w:val="18"/>
              </w:rPr>
              <w:t>6</w:t>
            </w:r>
            <w:r w:rsidRPr="00841A33">
              <w:rPr>
                <w:sz w:val="18"/>
                <w:szCs w:val="18"/>
              </w:rPr>
              <w:t xml:space="preserve">. </w:t>
            </w:r>
            <w:r>
              <w:rPr>
                <w:sz w:val="18"/>
                <w:szCs w:val="18"/>
              </w:rPr>
              <w:t>Amber or Red Zone under PCG 2021/4</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33257B35" w14:textId="77777777" w:rsidR="000A5BA4" w:rsidRPr="00472193" w:rsidRDefault="000A5BA4" w:rsidP="000A5BA4">
            <w:pPr>
              <w:pStyle w:val="Table"/>
              <w:spacing w:before="100" w:after="100"/>
              <w:jc w:val="center"/>
              <w:rPr>
                <w:rFonts w:cs="Arial"/>
                <w:sz w:val="18"/>
                <w:szCs w:val="18"/>
              </w:rPr>
            </w:pPr>
            <w:r w:rsidRPr="00472193">
              <w:rPr>
                <w:rFonts w:cs="Arial"/>
                <w:sz w:val="18"/>
                <w:szCs w:val="18"/>
              </w:rPr>
              <w:t>Yes</w:t>
            </w:r>
          </w:p>
        </w:tc>
        <w:tc>
          <w:tcPr>
            <w:tcW w:w="567" w:type="dxa"/>
            <w:tcBorders>
              <w:top w:val="single" w:sz="4" w:space="0" w:color="939598"/>
              <w:left w:val="single" w:sz="4" w:space="0" w:color="939598"/>
              <w:bottom w:val="single" w:sz="4" w:space="0" w:color="939598"/>
              <w:right w:val="single" w:sz="4" w:space="0" w:color="939598"/>
            </w:tcBorders>
            <w:shd w:val="clear" w:color="auto" w:fill="051C3C"/>
            <w:vAlign w:val="center"/>
          </w:tcPr>
          <w:p w14:paraId="3FF45F1E" w14:textId="77777777" w:rsidR="000A5BA4" w:rsidRPr="00472193" w:rsidRDefault="000A5BA4" w:rsidP="000A5BA4">
            <w:pPr>
              <w:pStyle w:val="Table"/>
              <w:spacing w:before="100" w:after="100"/>
              <w:jc w:val="center"/>
              <w:rPr>
                <w:rFonts w:cs="Arial"/>
                <w:sz w:val="18"/>
                <w:szCs w:val="18"/>
              </w:rPr>
            </w:pPr>
            <w:r w:rsidRPr="00472193">
              <w:rPr>
                <w:rFonts w:cs="Arial"/>
                <w:sz w:val="18"/>
                <w:szCs w:val="18"/>
              </w:rPr>
              <w:t>No</w:t>
            </w:r>
          </w:p>
        </w:tc>
      </w:tr>
      <w:tr w:rsidR="000A5BA4" w:rsidRPr="00841A33" w14:paraId="54CEA960" w14:textId="77777777" w:rsidTr="000A5BA4">
        <w:tc>
          <w:tcPr>
            <w:tcW w:w="9356" w:type="dxa"/>
            <w:tcBorders>
              <w:top w:val="nil"/>
              <w:left w:val="single" w:sz="4" w:space="0" w:color="C0C0C0"/>
              <w:bottom w:val="single" w:sz="4" w:space="0" w:color="939598"/>
              <w:right w:val="single" w:sz="4" w:space="0" w:color="C0C0C0"/>
            </w:tcBorders>
          </w:tcPr>
          <w:p w14:paraId="07CF3915" w14:textId="205ED421" w:rsidR="00867444" w:rsidRDefault="00867444" w:rsidP="00867444">
            <w:pPr>
              <w:pStyle w:val="Table"/>
              <w:spacing w:before="100" w:after="100"/>
              <w:rPr>
                <w:sz w:val="18"/>
                <w:szCs w:val="18"/>
              </w:rPr>
            </w:pPr>
            <w:r>
              <w:rPr>
                <w:sz w:val="18"/>
                <w:szCs w:val="18"/>
              </w:rPr>
              <w:t>I</w:t>
            </w:r>
            <w:r w:rsidRPr="00867444">
              <w:rPr>
                <w:sz w:val="18"/>
                <w:szCs w:val="18"/>
              </w:rPr>
              <w:t xml:space="preserve">f you consider that the risk rating does not reflect </w:t>
            </w:r>
            <w:r>
              <w:rPr>
                <w:sz w:val="18"/>
                <w:szCs w:val="18"/>
              </w:rPr>
              <w:t xml:space="preserve">the actual </w:t>
            </w:r>
            <w:r w:rsidRPr="00867444">
              <w:rPr>
                <w:sz w:val="18"/>
                <w:szCs w:val="18"/>
              </w:rPr>
              <w:t>underlying risk, you should engage with the ATO to discuss your circumstances by emailing </w:t>
            </w:r>
            <w:hyperlink r:id="rId8" w:history="1">
              <w:r w:rsidRPr="00867444">
                <w:rPr>
                  <w:sz w:val="18"/>
                  <w:szCs w:val="18"/>
                  <w:u w:val="single"/>
                </w:rPr>
                <w:t>ProfessionalPdts@ato.gov.au</w:t>
              </w:r>
            </w:hyperlink>
            <w:r w:rsidR="00485A08">
              <w:rPr>
                <w:sz w:val="18"/>
                <w:szCs w:val="18"/>
                <w:u w:val="single"/>
              </w:rPr>
              <w:t>.</w:t>
            </w:r>
            <w:r w:rsidR="00485A08">
              <w:rPr>
                <w:sz w:val="18"/>
                <w:szCs w:val="18"/>
              </w:rPr>
              <w:t xml:space="preserve"> We recommend that you seek specialist tax advisory services prior to contacting the ATO where your arrangement is not within the green zone or has risk factors.</w:t>
            </w:r>
          </w:p>
          <w:p w14:paraId="33CD9513" w14:textId="340D1D55" w:rsidR="000A5BA4" w:rsidRDefault="00867444" w:rsidP="000A5BA4">
            <w:pPr>
              <w:pStyle w:val="Table"/>
              <w:spacing w:before="100" w:after="100"/>
              <w:rPr>
                <w:sz w:val="18"/>
                <w:szCs w:val="18"/>
              </w:rPr>
            </w:pPr>
            <w:r>
              <w:rPr>
                <w:sz w:val="18"/>
                <w:szCs w:val="18"/>
              </w:rPr>
              <w:t>W</w:t>
            </w:r>
            <w:r w:rsidR="000A5BA4">
              <w:rPr>
                <w:sz w:val="18"/>
                <w:szCs w:val="18"/>
              </w:rPr>
              <w:t xml:space="preserve">here </w:t>
            </w:r>
            <w:r w:rsidR="000A5BA4" w:rsidRPr="000A5BA4">
              <w:rPr>
                <w:sz w:val="18"/>
                <w:szCs w:val="18"/>
              </w:rPr>
              <w:t>your IPP and its arrangement</w:t>
            </w:r>
            <w:r w:rsidR="006A1445">
              <w:rPr>
                <w:sz w:val="18"/>
                <w:szCs w:val="18"/>
              </w:rPr>
              <w:t xml:space="preserve"> </w:t>
            </w:r>
            <w:r w:rsidR="00485A08">
              <w:rPr>
                <w:sz w:val="18"/>
                <w:szCs w:val="18"/>
              </w:rPr>
              <w:t>are</w:t>
            </w:r>
            <w:r w:rsidR="000A5BA4" w:rsidRPr="000A5BA4">
              <w:rPr>
                <w:sz w:val="18"/>
                <w:szCs w:val="18"/>
              </w:rPr>
              <w:t xml:space="preserve"> </w:t>
            </w:r>
            <w:r w:rsidR="000A5BA4">
              <w:rPr>
                <w:sz w:val="18"/>
                <w:szCs w:val="18"/>
              </w:rPr>
              <w:t xml:space="preserve">not </w:t>
            </w:r>
            <w:r w:rsidR="000A5BA4" w:rsidRPr="000A5BA4">
              <w:rPr>
                <w:sz w:val="18"/>
                <w:szCs w:val="18"/>
              </w:rPr>
              <w:t>within the green zone</w:t>
            </w:r>
            <w:r w:rsidR="000A5BA4">
              <w:rPr>
                <w:sz w:val="18"/>
                <w:szCs w:val="18"/>
              </w:rPr>
              <w:t xml:space="preserve">, you may need to modify the arrangement to prospectively come within the green zone. </w:t>
            </w:r>
          </w:p>
          <w:p w14:paraId="70DCC773" w14:textId="77777777" w:rsidR="00867444" w:rsidRPr="00867444" w:rsidRDefault="00867444" w:rsidP="00867444">
            <w:pPr>
              <w:pStyle w:val="Table"/>
              <w:spacing w:before="100" w:after="100"/>
              <w:rPr>
                <w:sz w:val="18"/>
                <w:szCs w:val="18"/>
              </w:rPr>
            </w:pPr>
            <w:r w:rsidRPr="00867444">
              <w:rPr>
                <w:sz w:val="18"/>
                <w:szCs w:val="18"/>
              </w:rPr>
              <w:t>Taxpayers with pre-existing arrangements are able to continue to rely on the suspended Assessing the risk: allocation of profits within professional firms guidelines (Suspended Guidelines) (published on ato.gov.au in 2015) for the years ending 30 June 2018, 30 June 2019, 30 June 2020, 30 June 2021 and 30 June 2022, as long as their arrangement:</w:t>
            </w:r>
          </w:p>
          <w:p w14:paraId="60DC86E7" w14:textId="77777777" w:rsidR="00867444" w:rsidRPr="00867444" w:rsidRDefault="00867444" w:rsidP="00867444">
            <w:pPr>
              <w:pStyle w:val="Table"/>
              <w:numPr>
                <w:ilvl w:val="0"/>
                <w:numId w:val="14"/>
              </w:numPr>
              <w:spacing w:before="100" w:after="100"/>
              <w:rPr>
                <w:sz w:val="18"/>
                <w:szCs w:val="18"/>
              </w:rPr>
            </w:pPr>
            <w:r w:rsidRPr="00867444">
              <w:rPr>
                <w:sz w:val="18"/>
                <w:szCs w:val="18"/>
              </w:rPr>
              <w:t>complies with those Suspended Guidelines</w:t>
            </w:r>
          </w:p>
          <w:p w14:paraId="07303D23" w14:textId="77777777" w:rsidR="00867444" w:rsidRPr="00867444" w:rsidRDefault="00867444" w:rsidP="00867444">
            <w:pPr>
              <w:pStyle w:val="Table"/>
              <w:numPr>
                <w:ilvl w:val="0"/>
                <w:numId w:val="14"/>
              </w:numPr>
              <w:spacing w:before="100" w:after="100"/>
              <w:rPr>
                <w:sz w:val="18"/>
                <w:szCs w:val="18"/>
              </w:rPr>
            </w:pPr>
            <w:r w:rsidRPr="00867444">
              <w:rPr>
                <w:sz w:val="18"/>
                <w:szCs w:val="18"/>
              </w:rPr>
              <w:t>is commercially driven, and</w:t>
            </w:r>
          </w:p>
          <w:p w14:paraId="60A62CCC" w14:textId="77777777" w:rsidR="00867444" w:rsidRPr="00867444" w:rsidRDefault="00867444" w:rsidP="00867444">
            <w:pPr>
              <w:pStyle w:val="Table"/>
              <w:numPr>
                <w:ilvl w:val="0"/>
                <w:numId w:val="14"/>
              </w:numPr>
              <w:spacing w:before="100" w:after="100"/>
              <w:rPr>
                <w:sz w:val="18"/>
                <w:szCs w:val="18"/>
              </w:rPr>
            </w:pPr>
            <w:r w:rsidRPr="00867444">
              <w:rPr>
                <w:sz w:val="18"/>
                <w:szCs w:val="18"/>
              </w:rPr>
              <w:t xml:space="preserve">does not exhibit any of the high-risk features </w:t>
            </w:r>
            <w:r>
              <w:rPr>
                <w:sz w:val="18"/>
                <w:szCs w:val="18"/>
              </w:rPr>
              <w:t>in Gateway 2</w:t>
            </w:r>
            <w:r w:rsidRPr="00867444">
              <w:rPr>
                <w:sz w:val="18"/>
                <w:szCs w:val="18"/>
              </w:rPr>
              <w:t>.</w:t>
            </w:r>
          </w:p>
          <w:p w14:paraId="62117A14" w14:textId="77777777" w:rsidR="00867444" w:rsidRDefault="00867444" w:rsidP="00867444">
            <w:pPr>
              <w:pStyle w:val="Table"/>
              <w:spacing w:before="100" w:after="100"/>
              <w:rPr>
                <w:sz w:val="18"/>
                <w:szCs w:val="18"/>
              </w:rPr>
            </w:pPr>
            <w:r w:rsidRPr="00867444">
              <w:rPr>
                <w:sz w:val="18"/>
                <w:szCs w:val="18"/>
              </w:rPr>
              <w:t xml:space="preserve">In recognition that certain IPP's arrangements considered low risk under the Suspended Guidelines may have a higher risk rating under this Guideline, </w:t>
            </w:r>
            <w:r>
              <w:rPr>
                <w:sz w:val="18"/>
                <w:szCs w:val="18"/>
              </w:rPr>
              <w:t xml:space="preserve">the ATO allows </w:t>
            </w:r>
            <w:r w:rsidRPr="00867444">
              <w:rPr>
                <w:sz w:val="18"/>
                <w:szCs w:val="18"/>
              </w:rPr>
              <w:t>a transitional period for those IPPs to continue to apply the Suspended Guidelines to their arrangements until 30 June 2024.</w:t>
            </w:r>
          </w:p>
          <w:p w14:paraId="538547A7" w14:textId="77777777" w:rsidR="00867444" w:rsidRPr="00867444" w:rsidRDefault="00A5437E" w:rsidP="00867444">
            <w:pPr>
              <w:pStyle w:val="Table"/>
              <w:spacing w:before="100" w:after="100"/>
              <w:rPr>
                <w:sz w:val="18"/>
                <w:szCs w:val="18"/>
              </w:rPr>
            </w:pPr>
            <w:r>
              <w:rPr>
                <w:sz w:val="18"/>
                <w:szCs w:val="18"/>
              </w:rPr>
              <w:t>You may inform the ATO of your</w:t>
            </w:r>
            <w:r w:rsidR="00867444">
              <w:rPr>
                <w:sz w:val="18"/>
                <w:szCs w:val="18"/>
              </w:rPr>
              <w:t xml:space="preserve"> intention to transition </w:t>
            </w:r>
            <w:r>
              <w:rPr>
                <w:sz w:val="18"/>
                <w:szCs w:val="18"/>
              </w:rPr>
              <w:t>your</w:t>
            </w:r>
            <w:r w:rsidR="00867444">
              <w:rPr>
                <w:sz w:val="18"/>
                <w:szCs w:val="18"/>
              </w:rPr>
              <w:t xml:space="preserve"> arrang</w:t>
            </w:r>
            <w:r>
              <w:rPr>
                <w:sz w:val="18"/>
                <w:szCs w:val="18"/>
              </w:rPr>
              <w:t>ement to a lower risk zone at any</w:t>
            </w:r>
            <w:r w:rsidR="00867444">
              <w:rPr>
                <w:sz w:val="18"/>
                <w:szCs w:val="18"/>
              </w:rPr>
              <w:t xml:space="preserve"> time and engage the ATO in good faith </w:t>
            </w:r>
            <w:r w:rsidR="00867444" w:rsidRPr="00867444">
              <w:rPr>
                <w:sz w:val="18"/>
                <w:szCs w:val="18"/>
              </w:rPr>
              <w:t xml:space="preserve">by emailing </w:t>
            </w:r>
            <w:hyperlink r:id="rId9" w:history="1">
              <w:r w:rsidR="00867444" w:rsidRPr="00360497">
                <w:rPr>
                  <w:rStyle w:val="Hyperlink"/>
                  <w:sz w:val="18"/>
                  <w:szCs w:val="18"/>
                </w:rPr>
                <w:t>ProfessionalPdts@ato.gov.au</w:t>
              </w:r>
            </w:hyperlink>
            <w:r w:rsidR="00867444">
              <w:rPr>
                <w:sz w:val="18"/>
                <w:szCs w:val="18"/>
              </w:rPr>
              <w:t xml:space="preserve">, and the engagement will be on a ‘without prejudice’ basis. </w:t>
            </w:r>
          </w:p>
          <w:p w14:paraId="3B1AAB35" w14:textId="5EC19FE4" w:rsidR="00867444" w:rsidRPr="00867444" w:rsidRDefault="00867444" w:rsidP="00867444">
            <w:pPr>
              <w:pStyle w:val="Table"/>
              <w:spacing w:before="100" w:after="100"/>
              <w:rPr>
                <w:sz w:val="18"/>
                <w:szCs w:val="18"/>
              </w:rPr>
            </w:pPr>
            <w:r w:rsidRPr="00867444">
              <w:rPr>
                <w:sz w:val="18"/>
                <w:szCs w:val="18"/>
              </w:rPr>
              <w:t xml:space="preserve">If you </w:t>
            </w:r>
            <w:r>
              <w:rPr>
                <w:sz w:val="18"/>
                <w:szCs w:val="18"/>
              </w:rPr>
              <w:t xml:space="preserve">still </w:t>
            </w:r>
            <w:r w:rsidRPr="00867444">
              <w:rPr>
                <w:sz w:val="18"/>
                <w:szCs w:val="18"/>
              </w:rPr>
              <w:t xml:space="preserve">have concerns in relation to transitioning your arrangements on a prospective basis, you should engage with the ATO by emailing </w:t>
            </w:r>
            <w:hyperlink r:id="rId10" w:history="1">
              <w:r w:rsidR="00485A08" w:rsidRPr="00E57D04">
                <w:rPr>
                  <w:rStyle w:val="Hyperlink"/>
                  <w:sz w:val="18"/>
                  <w:szCs w:val="18"/>
                </w:rPr>
                <w:t>ProfessionalPdts@ato.gov.au</w:t>
              </w:r>
            </w:hyperlink>
            <w:r w:rsidRPr="00867444">
              <w:rPr>
                <w:sz w:val="18"/>
                <w:szCs w:val="18"/>
              </w:rPr>
              <w:t xml:space="preserve">. In such cases, </w:t>
            </w:r>
            <w:r w:rsidR="00AD1550">
              <w:rPr>
                <w:sz w:val="18"/>
                <w:szCs w:val="18"/>
              </w:rPr>
              <w:t xml:space="preserve">the ATO would </w:t>
            </w:r>
            <w:r w:rsidRPr="00867444">
              <w:rPr>
                <w:sz w:val="18"/>
                <w:szCs w:val="18"/>
              </w:rPr>
              <w:t>expect relevant details, including:</w:t>
            </w:r>
          </w:p>
          <w:p w14:paraId="0926EC6B" w14:textId="77777777" w:rsidR="00867444" w:rsidRPr="00867444" w:rsidRDefault="00867444" w:rsidP="00AD1550">
            <w:pPr>
              <w:pStyle w:val="Table"/>
              <w:numPr>
                <w:ilvl w:val="0"/>
                <w:numId w:val="16"/>
              </w:numPr>
              <w:spacing w:before="100" w:after="100"/>
              <w:rPr>
                <w:sz w:val="18"/>
                <w:szCs w:val="18"/>
              </w:rPr>
            </w:pPr>
            <w:r w:rsidRPr="00867444">
              <w:rPr>
                <w:sz w:val="18"/>
                <w:szCs w:val="18"/>
              </w:rPr>
              <w:t>existing profit allocation arrangements</w:t>
            </w:r>
          </w:p>
          <w:p w14:paraId="35488862" w14:textId="77777777" w:rsidR="00867444" w:rsidRPr="00867444" w:rsidRDefault="00867444" w:rsidP="00AD1550">
            <w:pPr>
              <w:pStyle w:val="Table"/>
              <w:numPr>
                <w:ilvl w:val="0"/>
                <w:numId w:val="16"/>
              </w:numPr>
              <w:spacing w:before="100" w:after="100"/>
              <w:rPr>
                <w:sz w:val="18"/>
                <w:szCs w:val="18"/>
              </w:rPr>
            </w:pPr>
            <w:r w:rsidRPr="00867444">
              <w:rPr>
                <w:sz w:val="18"/>
                <w:szCs w:val="18"/>
              </w:rPr>
              <w:t xml:space="preserve">proposed profit allocation arrangements and their compliance with </w:t>
            </w:r>
            <w:r w:rsidR="00AD1550">
              <w:rPr>
                <w:sz w:val="18"/>
                <w:szCs w:val="18"/>
              </w:rPr>
              <w:t>the PCG</w:t>
            </w:r>
            <w:r w:rsidRPr="00867444">
              <w:rPr>
                <w:sz w:val="18"/>
                <w:szCs w:val="18"/>
              </w:rPr>
              <w:t>, and</w:t>
            </w:r>
          </w:p>
          <w:p w14:paraId="3AA4E454" w14:textId="77777777" w:rsidR="00867444" w:rsidRPr="00867444" w:rsidRDefault="00867444" w:rsidP="00AD1550">
            <w:pPr>
              <w:pStyle w:val="Table"/>
              <w:numPr>
                <w:ilvl w:val="0"/>
                <w:numId w:val="16"/>
              </w:numPr>
              <w:spacing w:before="100" w:after="100"/>
              <w:rPr>
                <w:sz w:val="18"/>
                <w:szCs w:val="18"/>
              </w:rPr>
            </w:pPr>
            <w:r w:rsidRPr="00867444">
              <w:rPr>
                <w:sz w:val="18"/>
                <w:szCs w:val="18"/>
              </w:rPr>
              <w:t>how the transition will be executed and any tax consequences associated with the transition.</w:t>
            </w:r>
          </w:p>
          <w:p w14:paraId="62D8445A" w14:textId="0A505A75" w:rsidR="000A5BA4" w:rsidRPr="00841A33" w:rsidRDefault="000A5BA4" w:rsidP="000A5BA4">
            <w:pPr>
              <w:pStyle w:val="Table"/>
              <w:spacing w:before="100" w:after="100"/>
              <w:rPr>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1DC328BC" w14:textId="77777777" w:rsidR="000A5BA4" w:rsidRPr="00841A33" w:rsidRDefault="000A5BA4" w:rsidP="000A5BA4">
            <w:pPr>
              <w:pStyle w:val="Table"/>
              <w:spacing w:before="100" w:after="100"/>
              <w:jc w:val="center"/>
              <w:rPr>
                <w:rFonts w:cs="Arial"/>
                <w:sz w:val="18"/>
                <w:szCs w:val="18"/>
              </w:rPr>
            </w:pPr>
          </w:p>
        </w:tc>
        <w:tc>
          <w:tcPr>
            <w:tcW w:w="567" w:type="dxa"/>
            <w:tcBorders>
              <w:top w:val="single" w:sz="4" w:space="0" w:color="939598"/>
              <w:left w:val="single" w:sz="4" w:space="0" w:color="939598"/>
              <w:bottom w:val="single" w:sz="4" w:space="0" w:color="939598"/>
              <w:right w:val="single" w:sz="4" w:space="0" w:color="939598"/>
            </w:tcBorders>
            <w:vAlign w:val="center"/>
          </w:tcPr>
          <w:p w14:paraId="62FE6752" w14:textId="77777777" w:rsidR="000A5BA4" w:rsidRPr="00841A33" w:rsidRDefault="000A5BA4" w:rsidP="000A5BA4">
            <w:pPr>
              <w:pStyle w:val="Table"/>
              <w:spacing w:before="100" w:after="100"/>
              <w:jc w:val="center"/>
              <w:rPr>
                <w:rFonts w:cs="Arial"/>
                <w:sz w:val="18"/>
                <w:szCs w:val="18"/>
              </w:rPr>
            </w:pPr>
          </w:p>
        </w:tc>
      </w:tr>
    </w:tbl>
    <w:p w14:paraId="1744B9FE" w14:textId="77777777" w:rsidR="00BB6B0E" w:rsidRDefault="00BB6B0E" w:rsidP="00C551B2"/>
    <w:sectPr w:rsidR="00BB6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91EEC7E"/>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b w:val="0"/>
        <w:bCs/>
        <w:i w:val="0"/>
        <w:iCs w:val="0"/>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8A9733B"/>
    <w:multiLevelType w:val="hybridMultilevel"/>
    <w:tmpl w:val="B88C6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0BD60A7"/>
    <w:multiLevelType w:val="hybridMultilevel"/>
    <w:tmpl w:val="5DE0E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86CA5"/>
    <w:multiLevelType w:val="hybridMultilevel"/>
    <w:tmpl w:val="791831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D4552"/>
    <w:multiLevelType w:val="hybridMultilevel"/>
    <w:tmpl w:val="04D83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BE345D"/>
    <w:multiLevelType w:val="hybridMultilevel"/>
    <w:tmpl w:val="21C2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E2E70"/>
    <w:multiLevelType w:val="hybridMultilevel"/>
    <w:tmpl w:val="04D83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20703"/>
    <w:multiLevelType w:val="hybridMultilevel"/>
    <w:tmpl w:val="4DCA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6128F"/>
    <w:multiLevelType w:val="hybridMultilevel"/>
    <w:tmpl w:val="52B8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0656FD"/>
    <w:multiLevelType w:val="hybridMultilevel"/>
    <w:tmpl w:val="F6C2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9B09C4"/>
    <w:multiLevelType w:val="hybridMultilevel"/>
    <w:tmpl w:val="32506CDA"/>
    <w:lvl w:ilvl="0" w:tplc="E2B6F4F6">
      <w:numFmt w:val="bullet"/>
      <w:lvlText w:val="•"/>
      <w:lvlJc w:val="left"/>
      <w:pPr>
        <w:ind w:left="720" w:hanging="360"/>
      </w:pPr>
      <w:rPr>
        <w:rFonts w:ascii="Arial" w:eastAsia="MS 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572E00"/>
    <w:multiLevelType w:val="hybridMultilevel"/>
    <w:tmpl w:val="BE58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33FA7"/>
    <w:multiLevelType w:val="hybridMultilevel"/>
    <w:tmpl w:val="E6E0A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3550B3"/>
    <w:multiLevelType w:val="hybridMultilevel"/>
    <w:tmpl w:val="63067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394947"/>
    <w:multiLevelType w:val="hybridMultilevel"/>
    <w:tmpl w:val="F24E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7624C3"/>
    <w:multiLevelType w:val="hybridMultilevel"/>
    <w:tmpl w:val="04D83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E832BC"/>
    <w:multiLevelType w:val="hybridMultilevel"/>
    <w:tmpl w:val="13E6BE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594F02"/>
    <w:multiLevelType w:val="hybridMultilevel"/>
    <w:tmpl w:val="C802A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15"/>
  </w:num>
  <w:num w:numId="4">
    <w:abstractNumId w:val="3"/>
  </w:num>
  <w:num w:numId="5">
    <w:abstractNumId w:val="17"/>
  </w:num>
  <w:num w:numId="6">
    <w:abstractNumId w:val="1"/>
  </w:num>
  <w:num w:numId="7">
    <w:abstractNumId w:val="16"/>
  </w:num>
  <w:num w:numId="8">
    <w:abstractNumId w:val="4"/>
  </w:num>
  <w:num w:numId="9">
    <w:abstractNumId w:val="7"/>
  </w:num>
  <w:num w:numId="10">
    <w:abstractNumId w:val="8"/>
  </w:num>
  <w:num w:numId="11">
    <w:abstractNumId w:val="6"/>
  </w:num>
  <w:num w:numId="12">
    <w:abstractNumId w:val="14"/>
  </w:num>
  <w:num w:numId="13">
    <w:abstractNumId w:val="5"/>
  </w:num>
  <w:num w:numId="14">
    <w:abstractNumId w:val="13"/>
  </w:num>
  <w:num w:numId="15">
    <w:abstractNumId w:val="9"/>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B2"/>
    <w:rsid w:val="00020DEC"/>
    <w:rsid w:val="0004542C"/>
    <w:rsid w:val="00080095"/>
    <w:rsid w:val="000A5BA4"/>
    <w:rsid w:val="000F53D0"/>
    <w:rsid w:val="00154B05"/>
    <w:rsid w:val="002018F7"/>
    <w:rsid w:val="00271812"/>
    <w:rsid w:val="0031079E"/>
    <w:rsid w:val="003A12F4"/>
    <w:rsid w:val="003A5C08"/>
    <w:rsid w:val="0044159B"/>
    <w:rsid w:val="00472193"/>
    <w:rsid w:val="00481B89"/>
    <w:rsid w:val="00485A08"/>
    <w:rsid w:val="004930AD"/>
    <w:rsid w:val="00506B5E"/>
    <w:rsid w:val="00566833"/>
    <w:rsid w:val="00572E2D"/>
    <w:rsid w:val="0058353E"/>
    <w:rsid w:val="0069614B"/>
    <w:rsid w:val="006A1445"/>
    <w:rsid w:val="006D6FD8"/>
    <w:rsid w:val="0071272C"/>
    <w:rsid w:val="007C5DE5"/>
    <w:rsid w:val="007D7418"/>
    <w:rsid w:val="0081595E"/>
    <w:rsid w:val="00867444"/>
    <w:rsid w:val="00A52B1F"/>
    <w:rsid w:val="00A5437E"/>
    <w:rsid w:val="00A91624"/>
    <w:rsid w:val="00AC761F"/>
    <w:rsid w:val="00AD1550"/>
    <w:rsid w:val="00AD5590"/>
    <w:rsid w:val="00B8494D"/>
    <w:rsid w:val="00BB6B0E"/>
    <w:rsid w:val="00BE4585"/>
    <w:rsid w:val="00C551B2"/>
    <w:rsid w:val="00C91950"/>
    <w:rsid w:val="00CC3A30"/>
    <w:rsid w:val="00D759F1"/>
    <w:rsid w:val="00E8397C"/>
    <w:rsid w:val="00F645DC"/>
    <w:rsid w:val="00F86541"/>
    <w:rsid w:val="00FB05FC"/>
    <w:rsid w:val="00FF75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A523"/>
  <w15:chartTrackingRefBased/>
  <w15:docId w15:val="{16D255AC-D401-409C-A9A9-8CF6FAD9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1B2"/>
    <w:pPr>
      <w:spacing w:after="0" w:line="240" w:lineRule="auto"/>
    </w:pPr>
    <w:rPr>
      <w:rFonts w:ascii="Arial" w:eastAsia="MS Gothic" w:hAnsi="Arial" w:cs="Times New Roman"/>
      <w:sz w:val="24"/>
      <w:szCs w:val="24"/>
    </w:rPr>
  </w:style>
  <w:style w:type="paragraph" w:styleId="Heading1">
    <w:name w:val="heading 1"/>
    <w:basedOn w:val="Normal"/>
    <w:next w:val="BodyIndent1"/>
    <w:link w:val="Heading1Char"/>
    <w:rsid w:val="003A5C08"/>
    <w:pPr>
      <w:keepNext/>
      <w:numPr>
        <w:numId w:val="18"/>
      </w:numPr>
      <w:pBdr>
        <w:top w:val="single" w:sz="4" w:space="6" w:color="auto"/>
      </w:pBdr>
      <w:spacing w:before="480"/>
      <w:outlineLvl w:val="0"/>
    </w:pPr>
    <w:rPr>
      <w:rFonts w:eastAsia="Times New Roman" w:cstheme="minorBidi"/>
      <w:b/>
      <w:kern w:val="28"/>
      <w:sz w:val="22"/>
      <w:szCs w:val="20"/>
    </w:rPr>
  </w:style>
  <w:style w:type="paragraph" w:styleId="Heading2">
    <w:name w:val="heading 2"/>
    <w:basedOn w:val="Normal"/>
    <w:next w:val="BodyIndent1"/>
    <w:link w:val="Heading2Char"/>
    <w:rsid w:val="003A5C08"/>
    <w:pPr>
      <w:keepNext/>
      <w:numPr>
        <w:ilvl w:val="1"/>
        <w:numId w:val="18"/>
      </w:numPr>
      <w:spacing w:before="240"/>
      <w:outlineLvl w:val="1"/>
    </w:pPr>
    <w:rPr>
      <w:rFonts w:eastAsia="Times New Roman" w:cstheme="minorBidi"/>
      <w:b/>
      <w:sz w:val="20"/>
      <w:szCs w:val="20"/>
    </w:rPr>
  </w:style>
  <w:style w:type="paragraph" w:styleId="Heading3">
    <w:name w:val="heading 3"/>
    <w:basedOn w:val="Normal"/>
    <w:link w:val="Heading3Char"/>
    <w:qFormat/>
    <w:rsid w:val="003A5C08"/>
    <w:pPr>
      <w:numPr>
        <w:ilvl w:val="2"/>
        <w:numId w:val="18"/>
      </w:numPr>
      <w:spacing w:before="240"/>
      <w:outlineLvl w:val="2"/>
    </w:pPr>
    <w:rPr>
      <w:rFonts w:eastAsia="Times New Roman" w:cstheme="minorBidi"/>
      <w:sz w:val="20"/>
      <w:szCs w:val="20"/>
    </w:rPr>
  </w:style>
  <w:style w:type="paragraph" w:styleId="Heading4">
    <w:name w:val="heading 4"/>
    <w:basedOn w:val="Normal"/>
    <w:link w:val="Heading4Char"/>
    <w:qFormat/>
    <w:rsid w:val="003A5C08"/>
    <w:pPr>
      <w:numPr>
        <w:ilvl w:val="3"/>
        <w:numId w:val="18"/>
      </w:numPr>
      <w:spacing w:before="240"/>
      <w:outlineLvl w:val="3"/>
    </w:pPr>
    <w:rPr>
      <w:rFonts w:eastAsia="Times New Roman" w:cstheme="minorBidi"/>
      <w:sz w:val="20"/>
      <w:szCs w:val="20"/>
    </w:rPr>
  </w:style>
  <w:style w:type="paragraph" w:styleId="Heading5">
    <w:name w:val="heading 5"/>
    <w:basedOn w:val="Normal"/>
    <w:link w:val="Heading5Char"/>
    <w:semiHidden/>
    <w:qFormat/>
    <w:rsid w:val="003A5C08"/>
    <w:pPr>
      <w:numPr>
        <w:ilvl w:val="4"/>
        <w:numId w:val="18"/>
      </w:numPr>
      <w:spacing w:before="240"/>
      <w:outlineLvl w:val="4"/>
    </w:pPr>
    <w:rPr>
      <w:rFonts w:eastAsia="Times New Roman"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1F"/>
    <w:pPr>
      <w:ind w:left="720"/>
      <w:contextualSpacing/>
    </w:pPr>
  </w:style>
  <w:style w:type="paragraph" w:customStyle="1" w:styleId="Table">
    <w:name w:val="_Table"/>
    <w:basedOn w:val="Normal"/>
    <w:rsid w:val="00AC761F"/>
    <w:pPr>
      <w:spacing w:before="60" w:after="60"/>
    </w:pPr>
    <w:rPr>
      <w:sz w:val="17"/>
      <w:szCs w:val="17"/>
    </w:rPr>
  </w:style>
  <w:style w:type="paragraph" w:customStyle="1" w:styleId="Tableheading">
    <w:name w:val="_Table heading"/>
    <w:basedOn w:val="Table"/>
    <w:rsid w:val="00AC761F"/>
    <w:pPr>
      <w:spacing w:before="80" w:after="80"/>
    </w:pPr>
    <w:rPr>
      <w:rFonts w:cs="Arial"/>
      <w:b/>
    </w:rPr>
  </w:style>
  <w:style w:type="character" w:styleId="Hyperlink">
    <w:name w:val="Hyperlink"/>
    <w:basedOn w:val="DefaultParagraphFont"/>
    <w:uiPriority w:val="99"/>
    <w:unhideWhenUsed/>
    <w:rsid w:val="007C5DE5"/>
    <w:rPr>
      <w:color w:val="0563C1" w:themeColor="hyperlink"/>
      <w:u w:val="single"/>
    </w:rPr>
  </w:style>
  <w:style w:type="character" w:styleId="Strong">
    <w:name w:val="Strong"/>
    <w:basedOn w:val="DefaultParagraphFont"/>
    <w:uiPriority w:val="22"/>
    <w:qFormat/>
    <w:rsid w:val="007D7418"/>
    <w:rPr>
      <w:b/>
      <w:bCs/>
    </w:rPr>
  </w:style>
  <w:style w:type="paragraph" w:customStyle="1" w:styleId="center">
    <w:name w:val="center"/>
    <w:basedOn w:val="Normal"/>
    <w:rsid w:val="007D7418"/>
    <w:pPr>
      <w:spacing w:before="100" w:beforeAutospacing="1" w:after="100" w:afterAutospacing="1"/>
    </w:pPr>
    <w:rPr>
      <w:rFonts w:ascii="Times New Roman" w:eastAsia="Times New Roman" w:hAnsi="Times New Roman"/>
      <w:lang w:eastAsia="en-AU"/>
    </w:rPr>
  </w:style>
  <w:style w:type="paragraph" w:customStyle="1" w:styleId="indentlevel0">
    <w:name w:val="indentlevel0"/>
    <w:basedOn w:val="Normal"/>
    <w:rsid w:val="0004542C"/>
    <w:pPr>
      <w:spacing w:before="100" w:beforeAutospacing="1" w:after="100" w:afterAutospacing="1"/>
    </w:pPr>
    <w:rPr>
      <w:rFonts w:ascii="Times New Roman" w:eastAsia="Times New Roman" w:hAnsi="Times New Roman"/>
      <w:lang w:eastAsia="en-AU"/>
    </w:rPr>
  </w:style>
  <w:style w:type="paragraph" w:styleId="BalloonText">
    <w:name w:val="Balloon Text"/>
    <w:basedOn w:val="Normal"/>
    <w:link w:val="BalloonTextChar"/>
    <w:uiPriority w:val="99"/>
    <w:semiHidden/>
    <w:unhideWhenUsed/>
    <w:rsid w:val="00A91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24"/>
    <w:rPr>
      <w:rFonts w:ascii="Segoe UI" w:eastAsia="MS Gothic" w:hAnsi="Segoe UI" w:cs="Segoe UI"/>
      <w:sz w:val="18"/>
      <w:szCs w:val="18"/>
    </w:rPr>
  </w:style>
  <w:style w:type="character" w:styleId="CommentReference">
    <w:name w:val="annotation reference"/>
    <w:basedOn w:val="DefaultParagraphFont"/>
    <w:uiPriority w:val="99"/>
    <w:semiHidden/>
    <w:unhideWhenUsed/>
    <w:rsid w:val="000F53D0"/>
    <w:rPr>
      <w:sz w:val="16"/>
      <w:szCs w:val="16"/>
    </w:rPr>
  </w:style>
  <w:style w:type="paragraph" w:styleId="CommentText">
    <w:name w:val="annotation text"/>
    <w:basedOn w:val="Normal"/>
    <w:link w:val="CommentTextChar"/>
    <w:uiPriority w:val="99"/>
    <w:semiHidden/>
    <w:unhideWhenUsed/>
    <w:rsid w:val="000F53D0"/>
    <w:rPr>
      <w:sz w:val="20"/>
      <w:szCs w:val="20"/>
    </w:rPr>
  </w:style>
  <w:style w:type="character" w:customStyle="1" w:styleId="CommentTextChar">
    <w:name w:val="Comment Text Char"/>
    <w:basedOn w:val="DefaultParagraphFont"/>
    <w:link w:val="CommentText"/>
    <w:uiPriority w:val="99"/>
    <w:semiHidden/>
    <w:rsid w:val="000F53D0"/>
    <w:rPr>
      <w:rFonts w:ascii="Arial" w:eastAsia="MS Gothic"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3D0"/>
    <w:rPr>
      <w:b/>
      <w:bCs/>
    </w:rPr>
  </w:style>
  <w:style w:type="character" w:customStyle="1" w:styleId="CommentSubjectChar">
    <w:name w:val="Comment Subject Char"/>
    <w:basedOn w:val="CommentTextChar"/>
    <w:link w:val="CommentSubject"/>
    <w:uiPriority w:val="99"/>
    <w:semiHidden/>
    <w:rsid w:val="000F53D0"/>
    <w:rPr>
      <w:rFonts w:ascii="Arial" w:eastAsia="MS Gothic" w:hAnsi="Arial" w:cs="Times New Roman"/>
      <w:b/>
      <w:bCs/>
      <w:sz w:val="20"/>
      <w:szCs w:val="20"/>
    </w:rPr>
  </w:style>
  <w:style w:type="character" w:styleId="UnresolvedMention">
    <w:name w:val="Unresolved Mention"/>
    <w:basedOn w:val="DefaultParagraphFont"/>
    <w:uiPriority w:val="99"/>
    <w:semiHidden/>
    <w:unhideWhenUsed/>
    <w:rsid w:val="00485A08"/>
    <w:rPr>
      <w:color w:val="605E5C"/>
      <w:shd w:val="clear" w:color="auto" w:fill="E1DFDD"/>
    </w:rPr>
  </w:style>
  <w:style w:type="character" w:customStyle="1" w:styleId="Heading1Char">
    <w:name w:val="Heading 1 Char"/>
    <w:basedOn w:val="DefaultParagraphFont"/>
    <w:link w:val="Heading1"/>
    <w:rsid w:val="003A5C08"/>
    <w:rPr>
      <w:rFonts w:ascii="Arial" w:eastAsia="Times New Roman" w:hAnsi="Arial"/>
      <w:b/>
      <w:kern w:val="28"/>
      <w:szCs w:val="20"/>
    </w:rPr>
  </w:style>
  <w:style w:type="character" w:customStyle="1" w:styleId="Heading2Char">
    <w:name w:val="Heading 2 Char"/>
    <w:basedOn w:val="DefaultParagraphFont"/>
    <w:link w:val="Heading2"/>
    <w:rsid w:val="003A5C08"/>
    <w:rPr>
      <w:rFonts w:ascii="Arial" w:eastAsia="Times New Roman" w:hAnsi="Arial"/>
      <w:b/>
      <w:sz w:val="20"/>
      <w:szCs w:val="20"/>
    </w:rPr>
  </w:style>
  <w:style w:type="character" w:customStyle="1" w:styleId="Heading3Char">
    <w:name w:val="Heading 3 Char"/>
    <w:basedOn w:val="DefaultParagraphFont"/>
    <w:link w:val="Heading3"/>
    <w:rsid w:val="003A5C08"/>
    <w:rPr>
      <w:rFonts w:ascii="Arial" w:eastAsia="Times New Roman" w:hAnsi="Arial"/>
      <w:sz w:val="20"/>
      <w:szCs w:val="20"/>
    </w:rPr>
  </w:style>
  <w:style w:type="character" w:customStyle="1" w:styleId="Heading4Char">
    <w:name w:val="Heading 4 Char"/>
    <w:basedOn w:val="DefaultParagraphFont"/>
    <w:link w:val="Heading4"/>
    <w:rsid w:val="003A5C08"/>
    <w:rPr>
      <w:rFonts w:ascii="Arial" w:eastAsia="Times New Roman" w:hAnsi="Arial"/>
      <w:sz w:val="20"/>
      <w:szCs w:val="20"/>
    </w:rPr>
  </w:style>
  <w:style w:type="character" w:customStyle="1" w:styleId="Heading5Char">
    <w:name w:val="Heading 5 Char"/>
    <w:basedOn w:val="DefaultParagraphFont"/>
    <w:link w:val="Heading5"/>
    <w:semiHidden/>
    <w:rsid w:val="003A5C08"/>
    <w:rPr>
      <w:rFonts w:ascii="Arial" w:eastAsia="Times New Roman" w:hAnsi="Arial"/>
      <w:sz w:val="20"/>
      <w:szCs w:val="20"/>
    </w:rPr>
  </w:style>
  <w:style w:type="paragraph" w:customStyle="1" w:styleId="BodyIndent1">
    <w:name w:val="Body Indent 1"/>
    <w:basedOn w:val="Normal"/>
    <w:qFormat/>
    <w:rsid w:val="003A5C08"/>
    <w:pPr>
      <w:spacing w:before="240"/>
      <w:ind w:left="851"/>
    </w:pPr>
    <w:rPr>
      <w:rFonts w:eastAsia="Times New Roman" w:cs="Arial"/>
      <w:sz w:val="20"/>
      <w:szCs w:val="20"/>
    </w:rPr>
  </w:style>
  <w:style w:type="paragraph" w:customStyle="1" w:styleId="mainTitle">
    <w:name w:val="mainTitle"/>
    <w:basedOn w:val="Normal"/>
    <w:next w:val="Normal"/>
    <w:qFormat/>
    <w:rsid w:val="003A5C08"/>
    <w:pPr>
      <w:pBdr>
        <w:top w:val="single" w:sz="4" w:space="1" w:color="auto"/>
      </w:pBdr>
    </w:pPr>
    <w:rPr>
      <w:rFonts w:eastAsia="Times New Roman" w:cstheme="minorBidi"/>
      <w:b/>
      <w:sz w:val="34"/>
      <w:szCs w:val="20"/>
    </w:rPr>
  </w:style>
  <w:style w:type="paragraph" w:customStyle="1" w:styleId="Chapterheading">
    <w:name w:val="Chapter heading"/>
    <w:basedOn w:val="Heading1"/>
    <w:qFormat/>
    <w:rsid w:val="003A5C08"/>
    <w:pPr>
      <w:keepLines/>
      <w:numPr>
        <w:numId w:val="0"/>
      </w:numPr>
      <w:pBdr>
        <w:top w:val="none" w:sz="0" w:space="0" w:color="auto"/>
      </w:pBdr>
      <w:spacing w:before="240" w:after="240"/>
    </w:pPr>
    <w:rPr>
      <w:rFonts w:eastAsia="MS Gothic" w:cs="Times New Roman"/>
      <w:b w:val="0"/>
      <w:color w:val="21314D"/>
      <w:spacing w:val="20"/>
      <w:kern w:val="0"/>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9852">
      <w:bodyDiv w:val="1"/>
      <w:marLeft w:val="0"/>
      <w:marRight w:val="0"/>
      <w:marTop w:val="0"/>
      <w:marBottom w:val="0"/>
      <w:divBdr>
        <w:top w:val="none" w:sz="0" w:space="0" w:color="auto"/>
        <w:left w:val="none" w:sz="0" w:space="0" w:color="auto"/>
        <w:bottom w:val="none" w:sz="0" w:space="0" w:color="auto"/>
        <w:right w:val="none" w:sz="0" w:space="0" w:color="auto"/>
      </w:divBdr>
    </w:div>
    <w:div w:id="821963366">
      <w:bodyDiv w:val="1"/>
      <w:marLeft w:val="0"/>
      <w:marRight w:val="0"/>
      <w:marTop w:val="0"/>
      <w:marBottom w:val="0"/>
      <w:divBdr>
        <w:top w:val="none" w:sz="0" w:space="0" w:color="auto"/>
        <w:left w:val="none" w:sz="0" w:space="0" w:color="auto"/>
        <w:bottom w:val="none" w:sz="0" w:space="0" w:color="auto"/>
        <w:right w:val="none" w:sz="0" w:space="0" w:color="auto"/>
      </w:divBdr>
    </w:div>
    <w:div w:id="838233818">
      <w:bodyDiv w:val="1"/>
      <w:marLeft w:val="0"/>
      <w:marRight w:val="0"/>
      <w:marTop w:val="0"/>
      <w:marBottom w:val="0"/>
      <w:divBdr>
        <w:top w:val="none" w:sz="0" w:space="0" w:color="auto"/>
        <w:left w:val="none" w:sz="0" w:space="0" w:color="auto"/>
        <w:bottom w:val="none" w:sz="0" w:space="0" w:color="auto"/>
        <w:right w:val="none" w:sz="0" w:space="0" w:color="auto"/>
      </w:divBdr>
    </w:div>
    <w:div w:id="1207839558">
      <w:bodyDiv w:val="1"/>
      <w:marLeft w:val="0"/>
      <w:marRight w:val="0"/>
      <w:marTop w:val="0"/>
      <w:marBottom w:val="0"/>
      <w:divBdr>
        <w:top w:val="none" w:sz="0" w:space="0" w:color="auto"/>
        <w:left w:val="none" w:sz="0" w:space="0" w:color="auto"/>
        <w:bottom w:val="none" w:sz="0" w:space="0" w:color="auto"/>
        <w:right w:val="none" w:sz="0" w:space="0" w:color="auto"/>
      </w:divBdr>
    </w:div>
    <w:div w:id="1222718277">
      <w:bodyDiv w:val="1"/>
      <w:marLeft w:val="0"/>
      <w:marRight w:val="0"/>
      <w:marTop w:val="0"/>
      <w:marBottom w:val="0"/>
      <w:divBdr>
        <w:top w:val="none" w:sz="0" w:space="0" w:color="auto"/>
        <w:left w:val="none" w:sz="0" w:space="0" w:color="auto"/>
        <w:bottom w:val="none" w:sz="0" w:space="0" w:color="auto"/>
        <w:right w:val="none" w:sz="0" w:space="0" w:color="auto"/>
      </w:divBdr>
    </w:div>
    <w:div w:id="1400976196">
      <w:bodyDiv w:val="1"/>
      <w:marLeft w:val="0"/>
      <w:marRight w:val="0"/>
      <w:marTop w:val="0"/>
      <w:marBottom w:val="0"/>
      <w:divBdr>
        <w:top w:val="none" w:sz="0" w:space="0" w:color="auto"/>
        <w:left w:val="none" w:sz="0" w:space="0" w:color="auto"/>
        <w:bottom w:val="none" w:sz="0" w:space="0" w:color="auto"/>
        <w:right w:val="none" w:sz="0" w:space="0" w:color="auto"/>
      </w:divBdr>
    </w:div>
    <w:div w:id="20269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Pdts@ato.gov.au" TargetMode="External"/><Relationship Id="rId3" Type="http://schemas.openxmlformats.org/officeDocument/2006/relationships/styles" Target="styles.xml"/><Relationship Id="rId7" Type="http://schemas.openxmlformats.org/officeDocument/2006/relationships/hyperlink" Target="mailto:ProfessionalPdts@ato.gov.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gal@cpaaustralia.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fessionalPdts@ato.gov.au" TargetMode="External"/><Relationship Id="rId4" Type="http://schemas.openxmlformats.org/officeDocument/2006/relationships/settings" Target="settings.xml"/><Relationship Id="rId9" Type="http://schemas.openxmlformats.org/officeDocument/2006/relationships/hyperlink" Target="mailto:ProfessionalPdts@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C9DC-1AE4-4D72-B097-AE8F4DC9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Premier Technology Solutions</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Tong</dc:creator>
  <cp:keywords/>
  <dc:description/>
  <cp:lastModifiedBy>Kristen Beadle</cp:lastModifiedBy>
  <cp:revision>9</cp:revision>
  <dcterms:created xsi:type="dcterms:W3CDTF">2022-01-31T02:07:00Z</dcterms:created>
  <dcterms:modified xsi:type="dcterms:W3CDTF">2022-02-03T00:14:00Z</dcterms:modified>
</cp:coreProperties>
</file>