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D7AF" w14:textId="77777777" w:rsidR="00CC497C" w:rsidRPr="007416A5" w:rsidRDefault="00CC497C" w:rsidP="00292812">
      <w:pPr>
        <w:spacing w:line="276" w:lineRule="auto"/>
        <w:rPr>
          <w:rFonts w:ascii="Arial" w:hAnsi="Arial" w:cs="Arial"/>
          <w:sz w:val="20"/>
        </w:rPr>
      </w:pPr>
      <w:bookmarkStart w:id="0" w:name="Date1"/>
      <w:bookmarkEnd w:id="0"/>
      <w:r w:rsidRPr="007416A5">
        <w:rPr>
          <w:rFonts w:ascii="Arial" w:hAnsi="Arial" w:cs="Arial"/>
          <w:sz w:val="20"/>
        </w:rPr>
        <w:t>[</w:t>
      </w:r>
      <w:r w:rsidRPr="007416A5">
        <w:rPr>
          <w:rFonts w:ascii="Arial" w:hAnsi="Arial" w:cs="Arial"/>
          <w:sz w:val="20"/>
          <w:highlight w:val="lightGray"/>
        </w:rPr>
        <w:t>Insert DD Month YYYY</w:t>
      </w:r>
      <w:r w:rsidRPr="007416A5">
        <w:rPr>
          <w:rFonts w:ascii="Arial" w:hAnsi="Arial" w:cs="Arial"/>
          <w:sz w:val="20"/>
        </w:rPr>
        <w:t>]</w:t>
      </w:r>
    </w:p>
    <w:p w14:paraId="5E431A42" w14:textId="77777777" w:rsidR="00CC497C" w:rsidRPr="007416A5" w:rsidRDefault="00CC497C" w:rsidP="00292812">
      <w:pPr>
        <w:spacing w:line="276"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C497C" w:rsidRPr="007416A5" w14:paraId="44F0FB83" w14:textId="77777777" w:rsidTr="009D5EF4">
        <w:tc>
          <w:tcPr>
            <w:tcW w:w="9289" w:type="dxa"/>
            <w:tcBorders>
              <w:top w:val="nil"/>
              <w:left w:val="nil"/>
              <w:bottom w:val="nil"/>
              <w:right w:val="nil"/>
            </w:tcBorders>
          </w:tcPr>
          <w:p w14:paraId="4F532CF8" w14:textId="77777777" w:rsidR="00CC497C" w:rsidRPr="007416A5" w:rsidRDefault="00CC497C" w:rsidP="00292812">
            <w:pPr>
              <w:spacing w:line="276" w:lineRule="auto"/>
              <w:rPr>
                <w:rFonts w:ascii="Arial" w:hAnsi="Arial" w:cs="Arial"/>
                <w:b/>
                <w:bCs/>
                <w:sz w:val="20"/>
              </w:rPr>
            </w:pPr>
            <w:bookmarkStart w:id="1" w:name="Confidential"/>
            <w:bookmarkEnd w:id="1"/>
          </w:p>
        </w:tc>
      </w:tr>
    </w:tbl>
    <w:p w14:paraId="6BEDAD20" w14:textId="77777777" w:rsidR="00CC497C" w:rsidRPr="007416A5" w:rsidRDefault="00CC497C" w:rsidP="00292812">
      <w:pPr>
        <w:spacing w:line="276" w:lineRule="auto"/>
        <w:rPr>
          <w:rFonts w:ascii="Arial" w:hAnsi="Arial" w:cs="Arial"/>
          <w:sz w:val="20"/>
        </w:rPr>
      </w:pPr>
      <w:bookmarkStart w:id="2" w:name="Name1"/>
      <w:bookmarkEnd w:id="2"/>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18178AFB" w14:textId="77777777" w:rsidR="00CC497C" w:rsidRPr="007416A5" w:rsidRDefault="00CC497C" w:rsidP="00292812">
      <w:pPr>
        <w:spacing w:line="276" w:lineRule="auto"/>
        <w:rPr>
          <w:rFonts w:ascii="Arial" w:hAnsi="Arial" w:cs="Arial"/>
          <w:sz w:val="20"/>
        </w:rPr>
      </w:pPr>
      <w:bookmarkStart w:id="3" w:name="Position"/>
      <w:bookmarkEnd w:id="3"/>
      <w:r w:rsidRPr="007416A5">
        <w:rPr>
          <w:rFonts w:ascii="Arial" w:hAnsi="Arial" w:cs="Arial"/>
          <w:sz w:val="20"/>
        </w:rPr>
        <w:t>[</w:t>
      </w:r>
      <w:r w:rsidRPr="007416A5">
        <w:rPr>
          <w:rFonts w:ascii="Arial" w:hAnsi="Arial" w:cs="Arial"/>
          <w:sz w:val="20"/>
          <w:highlight w:val="lightGray"/>
        </w:rPr>
        <w:t>Insert Client Position</w:t>
      </w:r>
      <w:r w:rsidRPr="007416A5">
        <w:rPr>
          <w:rFonts w:ascii="Arial" w:hAnsi="Arial" w:cs="Arial"/>
          <w:sz w:val="20"/>
        </w:rPr>
        <w:t>]</w:t>
      </w:r>
    </w:p>
    <w:p w14:paraId="5A3B7774" w14:textId="77777777" w:rsidR="00CC497C" w:rsidRPr="007416A5" w:rsidRDefault="00CC497C" w:rsidP="00292812">
      <w:pPr>
        <w:spacing w:line="276" w:lineRule="auto"/>
        <w:rPr>
          <w:rFonts w:ascii="Arial" w:hAnsi="Arial" w:cs="Arial"/>
          <w:sz w:val="20"/>
        </w:rPr>
      </w:pPr>
      <w:bookmarkStart w:id="4" w:name="Company1"/>
      <w:bookmarkEnd w:id="4"/>
      <w:r w:rsidRPr="007416A5">
        <w:rPr>
          <w:rFonts w:ascii="Arial" w:hAnsi="Arial" w:cs="Arial"/>
          <w:sz w:val="20"/>
        </w:rPr>
        <w:t>[</w:t>
      </w:r>
      <w:r w:rsidRPr="007416A5">
        <w:rPr>
          <w:rFonts w:ascii="Arial" w:hAnsi="Arial" w:cs="Arial"/>
          <w:sz w:val="20"/>
          <w:highlight w:val="lightGray"/>
        </w:rPr>
        <w:t>Insert Company Name</w:t>
      </w:r>
      <w:r w:rsidRPr="007416A5">
        <w:rPr>
          <w:rFonts w:ascii="Arial" w:hAnsi="Arial" w:cs="Arial"/>
          <w:sz w:val="20"/>
        </w:rPr>
        <w:t>]</w:t>
      </w:r>
    </w:p>
    <w:p w14:paraId="366286CA" w14:textId="77777777" w:rsidR="00CC497C" w:rsidRPr="007416A5" w:rsidRDefault="00CC497C" w:rsidP="00292812">
      <w:pPr>
        <w:spacing w:line="276" w:lineRule="auto"/>
        <w:rPr>
          <w:rFonts w:ascii="Arial" w:hAnsi="Arial" w:cs="Arial"/>
          <w:sz w:val="20"/>
        </w:rPr>
      </w:pPr>
      <w:bookmarkStart w:id="5" w:name="Address1"/>
      <w:bookmarkEnd w:id="5"/>
      <w:r w:rsidRPr="007416A5">
        <w:rPr>
          <w:rFonts w:ascii="Arial" w:hAnsi="Arial" w:cs="Arial"/>
          <w:sz w:val="20"/>
        </w:rPr>
        <w:t>[</w:t>
      </w:r>
      <w:r w:rsidRPr="007416A5">
        <w:rPr>
          <w:rFonts w:ascii="Arial" w:hAnsi="Arial" w:cs="Arial"/>
          <w:sz w:val="20"/>
          <w:highlight w:val="lightGray"/>
        </w:rPr>
        <w:t>Insert Company Address</w:t>
      </w:r>
      <w:r w:rsidRPr="007416A5">
        <w:rPr>
          <w:rFonts w:ascii="Arial" w:hAnsi="Arial" w:cs="Arial"/>
          <w:sz w:val="20"/>
        </w:rPr>
        <w:t>]</w:t>
      </w:r>
    </w:p>
    <w:p w14:paraId="7CD9D190" w14:textId="77777777" w:rsidR="00CC497C" w:rsidRPr="007416A5" w:rsidRDefault="00CC497C" w:rsidP="00292812">
      <w:pPr>
        <w:spacing w:line="276" w:lineRule="auto"/>
        <w:rPr>
          <w:rFonts w:ascii="Arial" w:hAnsi="Arial" w:cs="Arial"/>
          <w:sz w:val="20"/>
        </w:rPr>
      </w:pPr>
      <w:bookmarkStart w:id="6" w:name="Suburb"/>
      <w:bookmarkEnd w:id="6"/>
      <w:r w:rsidRPr="007416A5">
        <w:rPr>
          <w:rFonts w:ascii="Arial" w:hAnsi="Arial" w:cs="Arial"/>
          <w:sz w:val="20"/>
        </w:rPr>
        <w:t>[</w:t>
      </w:r>
      <w:r w:rsidRPr="007416A5">
        <w:rPr>
          <w:rFonts w:ascii="Arial" w:hAnsi="Arial" w:cs="Arial"/>
          <w:sz w:val="20"/>
          <w:highlight w:val="lightGray"/>
        </w:rPr>
        <w:t xml:space="preserve">Suburb  </w:t>
      </w:r>
      <w:bookmarkStart w:id="7" w:name="State"/>
      <w:bookmarkEnd w:id="7"/>
      <w:r w:rsidRPr="007416A5">
        <w:rPr>
          <w:rFonts w:ascii="Arial" w:hAnsi="Arial" w:cs="Arial"/>
          <w:sz w:val="20"/>
          <w:highlight w:val="lightGray"/>
        </w:rPr>
        <w:t>State</w:t>
      </w:r>
      <w:bookmarkStart w:id="8" w:name="PostCode"/>
      <w:bookmarkEnd w:id="8"/>
      <w:r w:rsidR="00763CAE" w:rsidRPr="007416A5">
        <w:rPr>
          <w:rFonts w:ascii="Arial" w:hAnsi="Arial" w:cs="Arial"/>
          <w:sz w:val="20"/>
          <w:highlight w:val="lightGray"/>
        </w:rPr>
        <w:t xml:space="preserve">  </w:t>
      </w:r>
      <w:r w:rsidRPr="007416A5">
        <w:rPr>
          <w:rFonts w:ascii="Arial" w:hAnsi="Arial" w:cs="Arial"/>
          <w:sz w:val="20"/>
          <w:highlight w:val="lightGray"/>
        </w:rPr>
        <w:t>Post Code</w:t>
      </w:r>
      <w:r w:rsidRPr="007416A5">
        <w:rPr>
          <w:rFonts w:ascii="Arial" w:hAnsi="Arial" w:cs="Arial"/>
          <w:sz w:val="20"/>
        </w:rPr>
        <w:t>]</w:t>
      </w:r>
    </w:p>
    <w:p w14:paraId="4B498DE1" w14:textId="77777777" w:rsidR="00CC497C" w:rsidRPr="007416A5" w:rsidRDefault="00CC497C" w:rsidP="00292812">
      <w:pPr>
        <w:spacing w:line="276" w:lineRule="auto"/>
        <w:rPr>
          <w:rFonts w:ascii="Arial" w:hAnsi="Arial" w:cs="Arial"/>
          <w:sz w:val="20"/>
        </w:rPr>
      </w:pPr>
    </w:p>
    <w:p w14:paraId="5FD4C149" w14:textId="77777777" w:rsidR="00CC497C" w:rsidRPr="007416A5" w:rsidRDefault="00CC497C" w:rsidP="00292812">
      <w:pPr>
        <w:spacing w:line="276" w:lineRule="auto"/>
        <w:rPr>
          <w:rFonts w:ascii="Arial" w:hAnsi="Arial" w:cs="Arial"/>
          <w:bCs/>
          <w:sz w:val="20"/>
        </w:rPr>
      </w:pPr>
    </w:p>
    <w:p w14:paraId="0007F17A" w14:textId="77777777" w:rsidR="00CC497C" w:rsidRPr="007416A5" w:rsidRDefault="00CC497C" w:rsidP="00292812">
      <w:pPr>
        <w:spacing w:line="276" w:lineRule="auto"/>
        <w:rPr>
          <w:rFonts w:ascii="Arial" w:hAnsi="Arial" w:cs="Arial"/>
          <w:sz w:val="20"/>
        </w:rPr>
      </w:pPr>
      <w:r w:rsidRPr="007416A5">
        <w:rPr>
          <w:rFonts w:ascii="Arial" w:hAnsi="Arial" w:cs="Arial"/>
          <w:sz w:val="20"/>
        </w:rPr>
        <w:t xml:space="preserve">Dear </w:t>
      </w:r>
      <w:bookmarkStart w:id="9" w:name="Salutation"/>
      <w:bookmarkEnd w:id="9"/>
      <w:r w:rsidRPr="007416A5">
        <w:rPr>
          <w:rFonts w:ascii="Arial" w:hAnsi="Arial" w:cs="Arial"/>
          <w:sz w:val="20"/>
        </w:rPr>
        <w:t>[</w:t>
      </w:r>
      <w:r w:rsidRPr="007416A5">
        <w:rPr>
          <w:rFonts w:ascii="Arial" w:hAnsi="Arial" w:cs="Arial"/>
          <w:sz w:val="20"/>
          <w:highlight w:val="lightGray"/>
        </w:rPr>
        <w:t>Insert Client Name</w:t>
      </w:r>
      <w:r w:rsidRPr="007416A5">
        <w:rPr>
          <w:rFonts w:ascii="Arial" w:hAnsi="Arial" w:cs="Arial"/>
          <w:sz w:val="20"/>
        </w:rPr>
        <w:t>]</w:t>
      </w:r>
    </w:p>
    <w:p w14:paraId="4BC794A2" w14:textId="77777777" w:rsidR="00CC497C" w:rsidRPr="007416A5" w:rsidRDefault="00CC497C" w:rsidP="00292812">
      <w:pPr>
        <w:spacing w:line="276" w:lineRule="auto"/>
        <w:rPr>
          <w:rFonts w:ascii="Arial" w:hAnsi="Arial" w:cs="Arial"/>
          <w:bCs/>
          <w:sz w:val="20"/>
        </w:rPr>
      </w:pPr>
    </w:p>
    <w:p w14:paraId="429DF759" w14:textId="77777777" w:rsidR="00CC497C" w:rsidRPr="007416A5" w:rsidRDefault="00CC497C" w:rsidP="00292812">
      <w:pPr>
        <w:spacing w:line="276" w:lineRule="auto"/>
        <w:rPr>
          <w:rFonts w:ascii="Arial" w:hAnsi="Arial" w:cs="Arial"/>
          <w:bCs/>
          <w:sz w:val="20"/>
        </w:rPr>
      </w:pPr>
    </w:p>
    <w:p w14:paraId="4126F968" w14:textId="77777777" w:rsidR="00CC497C" w:rsidRPr="003E00C1" w:rsidRDefault="00CC497C" w:rsidP="00292812">
      <w:pPr>
        <w:spacing w:line="276" w:lineRule="auto"/>
        <w:rPr>
          <w:rFonts w:ascii="Arial" w:hAnsi="Arial" w:cs="Arial"/>
          <w:b/>
          <w:bCs/>
          <w:sz w:val="21"/>
          <w:szCs w:val="21"/>
        </w:rPr>
      </w:pPr>
      <w:bookmarkStart w:id="10" w:name="Subject"/>
      <w:bookmarkEnd w:id="10"/>
      <w:r w:rsidRPr="003E00C1">
        <w:rPr>
          <w:rFonts w:ascii="Arial" w:hAnsi="Arial" w:cs="Arial"/>
          <w:b/>
          <w:bCs/>
          <w:sz w:val="21"/>
          <w:szCs w:val="21"/>
        </w:rPr>
        <w:t>Re:</w:t>
      </w:r>
      <w:r w:rsidRPr="003E00C1">
        <w:rPr>
          <w:rFonts w:ascii="Arial" w:hAnsi="Arial" w:cs="Arial"/>
          <w:b/>
          <w:bCs/>
          <w:sz w:val="21"/>
          <w:szCs w:val="21"/>
        </w:rPr>
        <w:tab/>
        <w:t>S</w:t>
      </w:r>
      <w:r w:rsidR="003E00C1">
        <w:rPr>
          <w:rFonts w:ascii="Arial" w:hAnsi="Arial" w:cs="Arial"/>
          <w:b/>
          <w:bCs/>
          <w:sz w:val="21"/>
          <w:szCs w:val="21"/>
        </w:rPr>
        <w:t>uperannuation Guarantee obligations</w:t>
      </w:r>
    </w:p>
    <w:p w14:paraId="0F3AF016" w14:textId="77777777" w:rsidR="00CC497C" w:rsidRPr="007416A5" w:rsidRDefault="00CC497C" w:rsidP="00292812">
      <w:pPr>
        <w:spacing w:line="276" w:lineRule="auto"/>
        <w:rPr>
          <w:rFonts w:ascii="Arial" w:hAnsi="Arial" w:cs="Arial"/>
          <w:sz w:val="20"/>
        </w:rPr>
      </w:pPr>
    </w:p>
    <w:p w14:paraId="631945A5" w14:textId="65ECB3BB" w:rsidR="007E5326" w:rsidRPr="007416A5" w:rsidRDefault="00090FEE" w:rsidP="00292812">
      <w:pPr>
        <w:spacing w:line="276" w:lineRule="auto"/>
        <w:jc w:val="left"/>
        <w:rPr>
          <w:rFonts w:ascii="Arial" w:hAnsi="Arial" w:cs="Arial"/>
          <w:sz w:val="20"/>
        </w:rPr>
      </w:pPr>
      <w:r>
        <w:rPr>
          <w:rFonts w:ascii="Arial" w:hAnsi="Arial" w:cs="Arial"/>
          <w:sz w:val="20"/>
        </w:rPr>
        <w:t xml:space="preserve">As part of </w:t>
      </w:r>
      <w:r w:rsidR="001230BB">
        <w:rPr>
          <w:rFonts w:ascii="Arial" w:hAnsi="Arial" w:cs="Arial"/>
          <w:sz w:val="20"/>
        </w:rPr>
        <w:t>its</w:t>
      </w:r>
      <w:r>
        <w:rPr>
          <w:rFonts w:ascii="Arial" w:hAnsi="Arial" w:cs="Arial"/>
          <w:sz w:val="20"/>
        </w:rPr>
        <w:t xml:space="preserve"> ongoing compliance activities, </w:t>
      </w:r>
      <w:r w:rsidR="00CC497C" w:rsidRPr="007416A5">
        <w:rPr>
          <w:rFonts w:ascii="Arial" w:hAnsi="Arial" w:cs="Arial"/>
          <w:sz w:val="20"/>
        </w:rPr>
        <w:t>the Australian Taxation Office (</w:t>
      </w:r>
      <w:r w:rsidR="00CC497C" w:rsidRPr="001667BE">
        <w:rPr>
          <w:rFonts w:ascii="Arial" w:hAnsi="Arial" w:cs="Arial"/>
          <w:b/>
          <w:bCs/>
          <w:sz w:val="20"/>
        </w:rPr>
        <w:t>ATO</w:t>
      </w:r>
      <w:r w:rsidR="00CC497C" w:rsidRPr="007416A5">
        <w:rPr>
          <w:rFonts w:ascii="Arial" w:hAnsi="Arial" w:cs="Arial"/>
          <w:sz w:val="20"/>
        </w:rPr>
        <w:t xml:space="preserve">) </w:t>
      </w:r>
      <w:r w:rsidR="009E5D8A">
        <w:rPr>
          <w:rFonts w:ascii="Arial" w:hAnsi="Arial" w:cs="Arial"/>
          <w:sz w:val="20"/>
        </w:rPr>
        <w:t xml:space="preserve">continues </w:t>
      </w:r>
      <w:r w:rsidR="009E5D8A" w:rsidRPr="007416A5">
        <w:rPr>
          <w:rFonts w:ascii="Arial" w:hAnsi="Arial" w:cs="Arial"/>
          <w:sz w:val="20"/>
        </w:rPr>
        <w:t>its</w:t>
      </w:r>
      <w:r w:rsidR="00CC497C" w:rsidRPr="007416A5">
        <w:rPr>
          <w:rFonts w:ascii="Arial" w:hAnsi="Arial" w:cs="Arial"/>
          <w:sz w:val="20"/>
        </w:rPr>
        <w:t xml:space="preserve"> audit</w:t>
      </w:r>
      <w:r w:rsidR="007E5326" w:rsidRPr="007416A5">
        <w:rPr>
          <w:rFonts w:ascii="Arial" w:hAnsi="Arial" w:cs="Arial"/>
          <w:sz w:val="20"/>
        </w:rPr>
        <w:t xml:space="preserve"> scrutiny </w:t>
      </w:r>
      <w:r w:rsidR="00292812">
        <w:rPr>
          <w:rFonts w:ascii="Arial" w:hAnsi="Arial" w:cs="Arial"/>
          <w:sz w:val="20"/>
        </w:rPr>
        <w:t>of compliance with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uarantee</w:t>
      </w:r>
      <w:r w:rsidR="00F4620D">
        <w:rPr>
          <w:rFonts w:ascii="Arial" w:hAnsi="Arial" w:cs="Arial"/>
          <w:sz w:val="20"/>
        </w:rPr>
        <w:t xml:space="preserve"> </w:t>
      </w:r>
      <w:r>
        <w:rPr>
          <w:rFonts w:ascii="Arial" w:hAnsi="Arial" w:cs="Arial"/>
          <w:sz w:val="20"/>
        </w:rPr>
        <w:t>obligations</w:t>
      </w:r>
      <w:r w:rsidRPr="007416A5">
        <w:rPr>
          <w:rFonts w:ascii="Arial" w:hAnsi="Arial" w:cs="Arial"/>
          <w:sz w:val="20"/>
        </w:rPr>
        <w:t xml:space="preserve"> </w:t>
      </w:r>
      <w:r w:rsidR="003E00C1">
        <w:rPr>
          <w:rFonts w:ascii="Arial" w:hAnsi="Arial" w:cs="Arial"/>
          <w:sz w:val="20"/>
        </w:rPr>
        <w:t>by employers. Accordingly</w:t>
      </w:r>
      <w:r w:rsidR="00CC497C" w:rsidRPr="007416A5">
        <w:rPr>
          <w:rFonts w:ascii="Arial" w:hAnsi="Arial" w:cs="Arial"/>
          <w:sz w:val="20"/>
        </w:rPr>
        <w:t xml:space="preserve">, it is </w:t>
      </w:r>
      <w:r w:rsidR="00292812">
        <w:rPr>
          <w:rFonts w:ascii="Arial" w:hAnsi="Arial" w:cs="Arial"/>
          <w:sz w:val="20"/>
        </w:rPr>
        <w:t>prudent to briefly revisit the s</w:t>
      </w:r>
      <w:r w:rsidR="00CC497C" w:rsidRPr="007416A5">
        <w:rPr>
          <w:rFonts w:ascii="Arial" w:hAnsi="Arial" w:cs="Arial"/>
          <w:sz w:val="20"/>
        </w:rPr>
        <w:t xml:space="preserve">uperannuation </w:t>
      </w:r>
      <w:r w:rsidR="00292812">
        <w:rPr>
          <w:rFonts w:ascii="Arial" w:hAnsi="Arial" w:cs="Arial"/>
          <w:sz w:val="20"/>
        </w:rPr>
        <w:t>g</w:t>
      </w:r>
      <w:r w:rsidR="00CC497C" w:rsidRPr="007416A5">
        <w:rPr>
          <w:rFonts w:ascii="Arial" w:hAnsi="Arial" w:cs="Arial"/>
          <w:sz w:val="20"/>
        </w:rPr>
        <w:t xml:space="preserve">uarantee obligations facing employers and to </w:t>
      </w:r>
      <w:r w:rsidR="00650F3D">
        <w:rPr>
          <w:rFonts w:ascii="Arial" w:hAnsi="Arial" w:cs="Arial"/>
          <w:sz w:val="20"/>
        </w:rPr>
        <w:t>consider</w:t>
      </w:r>
      <w:r w:rsidR="00CC497C" w:rsidRPr="007416A5">
        <w:rPr>
          <w:rFonts w:ascii="Arial" w:hAnsi="Arial" w:cs="Arial"/>
          <w:sz w:val="20"/>
        </w:rPr>
        <w:t xml:space="preserve"> the ramifications of non-compliance.</w:t>
      </w:r>
    </w:p>
    <w:p w14:paraId="5B91B9FC" w14:textId="77777777" w:rsidR="007E5326" w:rsidRPr="007416A5" w:rsidRDefault="007E5326" w:rsidP="00292812">
      <w:pPr>
        <w:spacing w:line="276" w:lineRule="auto"/>
        <w:jc w:val="left"/>
        <w:rPr>
          <w:rFonts w:ascii="Arial" w:hAnsi="Arial" w:cs="Arial"/>
          <w:sz w:val="20"/>
        </w:rPr>
      </w:pPr>
    </w:p>
    <w:p w14:paraId="0098D9BC"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Superannuation g</w:t>
      </w:r>
      <w:r w:rsidR="00137918">
        <w:rPr>
          <w:rFonts w:ascii="Arial" w:hAnsi="Arial" w:cs="Arial"/>
          <w:bCs/>
          <w:sz w:val="20"/>
        </w:rPr>
        <w:t>uarantee c</w:t>
      </w:r>
      <w:r w:rsidR="00CC497C" w:rsidRPr="007416A5">
        <w:rPr>
          <w:rFonts w:ascii="Arial" w:hAnsi="Arial" w:cs="Arial"/>
          <w:bCs/>
          <w:sz w:val="20"/>
        </w:rPr>
        <w:t>ontributions</w:t>
      </w:r>
    </w:p>
    <w:p w14:paraId="02E5A4F8" w14:textId="77777777" w:rsidR="00CC497C" w:rsidRPr="007416A5" w:rsidRDefault="00CC497C" w:rsidP="00292812">
      <w:pPr>
        <w:spacing w:line="276" w:lineRule="auto"/>
        <w:jc w:val="left"/>
        <w:rPr>
          <w:rFonts w:ascii="Arial" w:hAnsi="Arial" w:cs="Arial"/>
          <w:sz w:val="20"/>
        </w:rPr>
      </w:pPr>
    </w:p>
    <w:p w14:paraId="3EF65CE4" w14:textId="18923C86" w:rsidR="00EC270D" w:rsidRDefault="00292812" w:rsidP="00292812">
      <w:pPr>
        <w:spacing w:line="276" w:lineRule="auto"/>
        <w:jc w:val="left"/>
        <w:rPr>
          <w:rFonts w:ascii="Arial" w:hAnsi="Arial" w:cs="Arial"/>
          <w:sz w:val="20"/>
        </w:rPr>
      </w:pPr>
      <w:r>
        <w:rPr>
          <w:rFonts w:ascii="Arial" w:hAnsi="Arial" w:cs="Arial"/>
          <w:sz w:val="20"/>
        </w:rPr>
        <w:t>Superannuation g</w:t>
      </w:r>
      <w:r w:rsidR="00CC497C" w:rsidRPr="007416A5">
        <w:rPr>
          <w:rFonts w:ascii="Arial" w:hAnsi="Arial" w:cs="Arial"/>
          <w:sz w:val="20"/>
        </w:rPr>
        <w:t xml:space="preserve">uarantee contributions are generally required to be made by all employers to ensure that each individual employee receives a prescribed minimum level of superannuation support on a quarterly basis. The </w:t>
      </w:r>
      <w:r w:rsidR="007305ED">
        <w:rPr>
          <w:rFonts w:ascii="Arial" w:hAnsi="Arial" w:cs="Arial"/>
          <w:sz w:val="20"/>
        </w:rPr>
        <w:t>current superannuation guarantee percentage is</w:t>
      </w:r>
      <w:r w:rsidR="007E5326" w:rsidRPr="007416A5">
        <w:rPr>
          <w:rFonts w:ascii="Arial" w:hAnsi="Arial" w:cs="Arial"/>
          <w:sz w:val="20"/>
        </w:rPr>
        <w:t xml:space="preserve"> </w:t>
      </w:r>
      <w:r w:rsidR="00CC497C" w:rsidRPr="007416A5">
        <w:rPr>
          <w:rFonts w:ascii="Arial" w:hAnsi="Arial" w:cs="Arial"/>
          <w:sz w:val="20"/>
        </w:rPr>
        <w:t>9</w:t>
      </w:r>
      <w:r w:rsidR="009E5D8A">
        <w:rPr>
          <w:rFonts w:ascii="Arial" w:hAnsi="Arial" w:cs="Arial"/>
          <w:sz w:val="20"/>
        </w:rPr>
        <w:t>.5</w:t>
      </w:r>
      <w:r w:rsidR="00F43C0A">
        <w:rPr>
          <w:rFonts w:ascii="Arial" w:hAnsi="Arial" w:cs="Arial"/>
          <w:sz w:val="20"/>
        </w:rPr>
        <w:t xml:space="preserve"> per cent</w:t>
      </w:r>
      <w:r w:rsidR="0046341D">
        <w:rPr>
          <w:rFonts w:ascii="Arial" w:hAnsi="Arial" w:cs="Arial"/>
          <w:sz w:val="20"/>
        </w:rPr>
        <w:t xml:space="preserve">. The prescribed minimum level </w:t>
      </w:r>
      <w:r>
        <w:rPr>
          <w:rFonts w:ascii="Arial" w:hAnsi="Arial" w:cs="Arial"/>
          <w:sz w:val="20"/>
        </w:rPr>
        <w:t>of s</w:t>
      </w:r>
      <w:r w:rsidR="00650F3D">
        <w:rPr>
          <w:rFonts w:ascii="Arial" w:hAnsi="Arial" w:cs="Arial"/>
          <w:sz w:val="20"/>
        </w:rPr>
        <w:t xml:space="preserve">uperannuation </w:t>
      </w:r>
      <w:r>
        <w:rPr>
          <w:rFonts w:ascii="Arial" w:hAnsi="Arial" w:cs="Arial"/>
          <w:sz w:val="20"/>
        </w:rPr>
        <w:t>g</w:t>
      </w:r>
      <w:r w:rsidR="00650F3D">
        <w:rPr>
          <w:rFonts w:ascii="Arial" w:hAnsi="Arial" w:cs="Arial"/>
          <w:sz w:val="20"/>
        </w:rPr>
        <w:t>uarantee</w:t>
      </w:r>
      <w:r w:rsidR="00650F3D" w:rsidRPr="007416A5">
        <w:rPr>
          <w:rFonts w:ascii="Arial" w:hAnsi="Arial" w:cs="Arial"/>
          <w:sz w:val="20"/>
        </w:rPr>
        <w:t xml:space="preserve"> </w:t>
      </w:r>
      <w:r w:rsidR="0046341D">
        <w:rPr>
          <w:rFonts w:ascii="Arial" w:hAnsi="Arial" w:cs="Arial"/>
          <w:sz w:val="20"/>
        </w:rPr>
        <w:t>will remain at 9.5</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until 30 June 20</w:t>
      </w:r>
      <w:r w:rsidR="00F43C0A">
        <w:rPr>
          <w:rFonts w:ascii="Arial" w:hAnsi="Arial" w:cs="Arial"/>
          <w:sz w:val="20"/>
        </w:rPr>
        <w:t>21</w:t>
      </w:r>
      <w:r w:rsidR="0046341D">
        <w:rPr>
          <w:rFonts w:ascii="Arial" w:hAnsi="Arial" w:cs="Arial"/>
          <w:sz w:val="20"/>
        </w:rPr>
        <w:t xml:space="preserve"> and then </w:t>
      </w:r>
      <w:r w:rsidR="00650F3D">
        <w:rPr>
          <w:rFonts w:ascii="Arial" w:hAnsi="Arial" w:cs="Arial"/>
          <w:sz w:val="20"/>
        </w:rPr>
        <w:t xml:space="preserve">will </w:t>
      </w:r>
      <w:r w:rsidR="00CC497C" w:rsidRPr="007416A5">
        <w:rPr>
          <w:rFonts w:ascii="Arial" w:hAnsi="Arial" w:cs="Arial"/>
          <w:sz w:val="20"/>
        </w:rPr>
        <w:t>increase</w:t>
      </w:r>
      <w:r w:rsidR="0046341D">
        <w:rPr>
          <w:rFonts w:ascii="Arial" w:hAnsi="Arial" w:cs="Arial"/>
          <w:sz w:val="20"/>
        </w:rPr>
        <w:t xml:space="preserve"> by 0</w:t>
      </w:r>
      <w:r w:rsidR="005F1DD8">
        <w:rPr>
          <w:rFonts w:ascii="Arial" w:hAnsi="Arial" w:cs="Arial"/>
          <w:sz w:val="20"/>
        </w:rPr>
        <w:t>.</w:t>
      </w:r>
      <w:r w:rsidR="0046341D">
        <w:rPr>
          <w:rFonts w:ascii="Arial" w:hAnsi="Arial" w:cs="Arial"/>
          <w:sz w:val="20"/>
        </w:rPr>
        <w:t>5</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each year until it reaches</w:t>
      </w:r>
      <w:r w:rsidR="00CC497C" w:rsidRPr="007416A5">
        <w:rPr>
          <w:rFonts w:ascii="Arial" w:hAnsi="Arial" w:cs="Arial"/>
          <w:sz w:val="20"/>
        </w:rPr>
        <w:t xml:space="preserve"> 12</w:t>
      </w:r>
      <w:r w:rsidR="007305ED">
        <w:rPr>
          <w:rFonts w:ascii="Arial" w:hAnsi="Arial" w:cs="Arial"/>
          <w:sz w:val="20"/>
        </w:rPr>
        <w:t>%</w:t>
      </w:r>
      <w:r w:rsidR="001667BE">
        <w:rPr>
          <w:rFonts w:ascii="Arial" w:hAnsi="Arial" w:cs="Arial"/>
          <w:sz w:val="20"/>
        </w:rPr>
        <w:t xml:space="preserve"> </w:t>
      </w:r>
      <w:r w:rsidR="0046341D">
        <w:rPr>
          <w:rFonts w:ascii="Arial" w:hAnsi="Arial" w:cs="Arial"/>
          <w:sz w:val="20"/>
        </w:rPr>
        <w:t>in</w:t>
      </w:r>
      <w:r w:rsidR="00650F3D">
        <w:rPr>
          <w:rFonts w:ascii="Arial" w:hAnsi="Arial" w:cs="Arial"/>
          <w:sz w:val="20"/>
        </w:rPr>
        <w:t xml:space="preserve"> the</w:t>
      </w:r>
      <w:r w:rsidR="0046341D">
        <w:rPr>
          <w:rFonts w:ascii="Arial" w:hAnsi="Arial" w:cs="Arial"/>
          <w:sz w:val="20"/>
        </w:rPr>
        <w:t xml:space="preserve"> 202</w:t>
      </w:r>
      <w:r w:rsidR="000C137A">
        <w:rPr>
          <w:rFonts w:ascii="Arial" w:hAnsi="Arial" w:cs="Arial"/>
          <w:sz w:val="20"/>
        </w:rPr>
        <w:t>6</w:t>
      </w:r>
      <w:r w:rsidR="0046341D">
        <w:rPr>
          <w:rFonts w:ascii="Arial" w:hAnsi="Arial" w:cs="Arial"/>
          <w:sz w:val="20"/>
        </w:rPr>
        <w:t xml:space="preserve"> income year. </w:t>
      </w:r>
    </w:p>
    <w:p w14:paraId="0C566EE8" w14:textId="77777777" w:rsidR="00EC270D" w:rsidRDefault="00EC270D" w:rsidP="00292812">
      <w:pPr>
        <w:spacing w:line="276" w:lineRule="auto"/>
        <w:jc w:val="left"/>
        <w:rPr>
          <w:rFonts w:ascii="Arial" w:hAnsi="Arial" w:cs="Arial"/>
          <w:sz w:val="20"/>
        </w:rPr>
      </w:pPr>
    </w:p>
    <w:p w14:paraId="6AE97DDD" w14:textId="7FF3113E" w:rsidR="00CC497C" w:rsidRDefault="00292812" w:rsidP="00292812">
      <w:pPr>
        <w:pStyle w:val="BodyText3"/>
        <w:spacing w:line="276" w:lineRule="auto"/>
        <w:jc w:val="left"/>
        <w:rPr>
          <w:rFonts w:ascii="Arial" w:hAnsi="Arial" w:cs="Arial"/>
          <w:sz w:val="20"/>
        </w:rPr>
      </w:pPr>
      <w:r>
        <w:rPr>
          <w:rFonts w:ascii="Arial" w:hAnsi="Arial" w:cs="Arial"/>
          <w:sz w:val="20"/>
        </w:rPr>
        <w:t>The amount of s</w:t>
      </w:r>
      <w:r w:rsidR="00CC497C" w:rsidRPr="007416A5">
        <w:rPr>
          <w:rFonts w:ascii="Arial" w:hAnsi="Arial" w:cs="Arial"/>
          <w:sz w:val="20"/>
        </w:rPr>
        <w:t xml:space="preserve">uperannuation </w:t>
      </w:r>
      <w:r>
        <w:rPr>
          <w:rFonts w:ascii="Arial" w:hAnsi="Arial" w:cs="Arial"/>
          <w:sz w:val="20"/>
        </w:rPr>
        <w:t>g</w:t>
      </w:r>
      <w:r w:rsidR="00CC497C" w:rsidRPr="007416A5">
        <w:rPr>
          <w:rFonts w:ascii="Arial" w:hAnsi="Arial" w:cs="Arial"/>
          <w:sz w:val="20"/>
        </w:rPr>
        <w:t xml:space="preserve">uarantee </w:t>
      </w:r>
      <w:r w:rsidR="000C137A">
        <w:rPr>
          <w:rFonts w:ascii="Arial" w:hAnsi="Arial" w:cs="Arial"/>
          <w:sz w:val="20"/>
        </w:rPr>
        <w:t xml:space="preserve">contributions </w:t>
      </w:r>
      <w:r w:rsidR="00CC497C" w:rsidRPr="007416A5">
        <w:rPr>
          <w:rFonts w:ascii="Arial" w:hAnsi="Arial" w:cs="Arial"/>
          <w:sz w:val="20"/>
        </w:rPr>
        <w:t xml:space="preserve">provided by an employer on behalf of each of </w:t>
      </w:r>
      <w:r>
        <w:rPr>
          <w:rFonts w:ascii="Arial" w:hAnsi="Arial" w:cs="Arial"/>
          <w:sz w:val="20"/>
        </w:rPr>
        <w:t>its employees is determined</w:t>
      </w:r>
      <w:r w:rsidR="00CC497C" w:rsidRPr="007416A5">
        <w:rPr>
          <w:rFonts w:ascii="Arial" w:hAnsi="Arial" w:cs="Arial"/>
          <w:sz w:val="20"/>
        </w:rPr>
        <w:t xml:space="preserve"> in accordance with the earnings base of the employee. </w:t>
      </w:r>
      <w:r w:rsidR="00A636E2">
        <w:rPr>
          <w:rFonts w:ascii="Arial" w:hAnsi="Arial" w:cs="Arial"/>
          <w:sz w:val="20"/>
        </w:rPr>
        <w:t>T</w:t>
      </w:r>
      <w:r w:rsidR="00CC497C" w:rsidRPr="007416A5">
        <w:rPr>
          <w:rFonts w:ascii="Arial" w:hAnsi="Arial" w:cs="Arial"/>
          <w:sz w:val="20"/>
        </w:rPr>
        <w:t xml:space="preserve">he earnings base of an employee </w:t>
      </w:r>
      <w:r w:rsidR="00A636E2">
        <w:rPr>
          <w:rFonts w:ascii="Arial" w:hAnsi="Arial" w:cs="Arial"/>
          <w:sz w:val="20"/>
        </w:rPr>
        <w:t>is</w:t>
      </w:r>
      <w:r w:rsidR="00CC497C" w:rsidRPr="007416A5">
        <w:rPr>
          <w:rFonts w:ascii="Arial" w:hAnsi="Arial" w:cs="Arial"/>
          <w:sz w:val="20"/>
        </w:rPr>
        <w:t xml:space="preserve"> the</w:t>
      </w:r>
      <w:r w:rsidR="00A636E2">
        <w:rPr>
          <w:rFonts w:ascii="Arial" w:hAnsi="Arial" w:cs="Arial"/>
          <w:sz w:val="20"/>
        </w:rPr>
        <w:t>ir</w:t>
      </w:r>
      <w:r w:rsidR="00CC497C" w:rsidRPr="007416A5">
        <w:rPr>
          <w:rFonts w:ascii="Arial" w:hAnsi="Arial" w:cs="Arial"/>
          <w:sz w:val="20"/>
        </w:rPr>
        <w:t xml:space="preserve"> Ordinary Time Earnings (</w:t>
      </w:r>
      <w:r w:rsidR="00CC497C" w:rsidRPr="001667BE">
        <w:rPr>
          <w:rFonts w:ascii="Arial" w:hAnsi="Arial" w:cs="Arial"/>
          <w:b/>
          <w:bCs/>
          <w:sz w:val="20"/>
        </w:rPr>
        <w:t>OTE</w:t>
      </w:r>
      <w:r w:rsidR="00CC497C" w:rsidRPr="007416A5">
        <w:rPr>
          <w:rFonts w:ascii="Arial" w:hAnsi="Arial" w:cs="Arial"/>
          <w:sz w:val="20"/>
        </w:rPr>
        <w:t xml:space="preserve">). OTE includes, but is not limited to, the base-pay </w:t>
      </w:r>
      <w:r>
        <w:rPr>
          <w:rFonts w:ascii="Arial" w:hAnsi="Arial" w:cs="Arial"/>
          <w:sz w:val="20"/>
        </w:rPr>
        <w:t>in respect of an</w:t>
      </w:r>
      <w:r w:rsidR="00CC497C" w:rsidRPr="007416A5">
        <w:rPr>
          <w:rFonts w:ascii="Arial" w:hAnsi="Arial" w:cs="Arial"/>
          <w:sz w:val="20"/>
        </w:rPr>
        <w:t xml:space="preserve"> employee</w:t>
      </w:r>
      <w:r>
        <w:rPr>
          <w:rFonts w:ascii="Arial" w:hAnsi="Arial" w:cs="Arial"/>
          <w:sz w:val="20"/>
        </w:rPr>
        <w:t>’s ordinary hours of work</w:t>
      </w:r>
      <w:r w:rsidR="00CC497C" w:rsidRPr="007416A5">
        <w:rPr>
          <w:rFonts w:ascii="Arial" w:hAnsi="Arial" w:cs="Arial"/>
          <w:sz w:val="20"/>
        </w:rPr>
        <w:t xml:space="preserve">, commissions </w:t>
      </w:r>
      <w:r>
        <w:rPr>
          <w:rFonts w:ascii="Arial" w:hAnsi="Arial" w:cs="Arial"/>
          <w:sz w:val="20"/>
        </w:rPr>
        <w:t xml:space="preserve">and </w:t>
      </w:r>
      <w:r w:rsidR="00CC497C" w:rsidRPr="007416A5">
        <w:rPr>
          <w:rFonts w:ascii="Arial" w:hAnsi="Arial" w:cs="Arial"/>
          <w:sz w:val="20"/>
        </w:rPr>
        <w:t xml:space="preserve">shift loadings received by the employee </w:t>
      </w:r>
      <w:r>
        <w:rPr>
          <w:rFonts w:ascii="Arial" w:hAnsi="Arial" w:cs="Arial"/>
          <w:sz w:val="20"/>
        </w:rPr>
        <w:t xml:space="preserve">and </w:t>
      </w:r>
      <w:r w:rsidR="00CC497C" w:rsidRPr="007416A5">
        <w:rPr>
          <w:rFonts w:ascii="Arial" w:hAnsi="Arial" w:cs="Arial"/>
          <w:sz w:val="20"/>
        </w:rPr>
        <w:t>pay for annual or sick leave taken. However, there are a number of payments that may be received by an employee that are excluded from OTE, including lump sum payments to employees on termination of employment in lieu of unused annual leave and unused long service leave.</w:t>
      </w:r>
      <w:r w:rsidR="003E00C1">
        <w:rPr>
          <w:rFonts w:ascii="Arial" w:hAnsi="Arial" w:cs="Arial"/>
          <w:sz w:val="20"/>
        </w:rPr>
        <w:t xml:space="preserve"> Further clarification on the amounts that will be regarded as OTE is set out in Superannuation Guarantee Ruling SGR 2009/2.</w:t>
      </w:r>
    </w:p>
    <w:p w14:paraId="53A6171F" w14:textId="73AACE70" w:rsidR="00702791" w:rsidRDefault="00702791" w:rsidP="00292812">
      <w:pPr>
        <w:pStyle w:val="BodyText3"/>
        <w:spacing w:line="276" w:lineRule="auto"/>
        <w:jc w:val="left"/>
        <w:rPr>
          <w:rFonts w:ascii="Arial" w:hAnsi="Arial" w:cs="Arial"/>
          <w:sz w:val="20"/>
        </w:rPr>
      </w:pPr>
    </w:p>
    <w:p w14:paraId="7ABE8CE7" w14:textId="50B65CF5" w:rsidR="00702791" w:rsidRDefault="00702791" w:rsidP="00292812">
      <w:pPr>
        <w:pStyle w:val="BodyText3"/>
        <w:spacing w:line="276" w:lineRule="auto"/>
        <w:jc w:val="left"/>
        <w:rPr>
          <w:rFonts w:ascii="Arial" w:hAnsi="Arial" w:cs="Arial"/>
          <w:sz w:val="20"/>
        </w:rPr>
      </w:pPr>
      <w:r>
        <w:rPr>
          <w:rFonts w:ascii="Arial" w:hAnsi="Arial" w:cs="Arial"/>
          <w:sz w:val="20"/>
        </w:rPr>
        <w:t xml:space="preserve">It should be noted that from 1 January 2020, </w:t>
      </w:r>
      <w:r w:rsidR="00431296">
        <w:rPr>
          <w:rFonts w:ascii="Arial" w:hAnsi="Arial" w:cs="Arial"/>
          <w:sz w:val="20"/>
        </w:rPr>
        <w:t>salary sacrificed amount</w:t>
      </w:r>
      <w:r w:rsidR="00834502">
        <w:rPr>
          <w:rFonts w:ascii="Arial" w:hAnsi="Arial" w:cs="Arial"/>
          <w:sz w:val="20"/>
        </w:rPr>
        <w:t>s</w:t>
      </w:r>
      <w:r w:rsidR="00431296">
        <w:rPr>
          <w:rFonts w:ascii="Arial" w:hAnsi="Arial" w:cs="Arial"/>
          <w:sz w:val="20"/>
        </w:rPr>
        <w:t xml:space="preserve"> contributed towards superannuation will be included in the earnings base for </w:t>
      </w:r>
      <w:r w:rsidR="00834502">
        <w:rPr>
          <w:rFonts w:ascii="Arial" w:hAnsi="Arial" w:cs="Arial"/>
          <w:sz w:val="20"/>
        </w:rPr>
        <w:t>calculating</w:t>
      </w:r>
      <w:r w:rsidR="00431296">
        <w:rPr>
          <w:rFonts w:ascii="Arial" w:hAnsi="Arial" w:cs="Arial"/>
          <w:sz w:val="20"/>
        </w:rPr>
        <w:t xml:space="preserve"> the amount of </w:t>
      </w:r>
      <w:r>
        <w:rPr>
          <w:rFonts w:ascii="Arial" w:hAnsi="Arial" w:cs="Arial"/>
          <w:sz w:val="20"/>
        </w:rPr>
        <w:t>superannuation guarantee contributions</w:t>
      </w:r>
      <w:r w:rsidR="00431296">
        <w:rPr>
          <w:rFonts w:ascii="Arial" w:hAnsi="Arial" w:cs="Arial"/>
          <w:sz w:val="20"/>
        </w:rPr>
        <w:t xml:space="preserve">. As a result, </w:t>
      </w:r>
      <w:r w:rsidR="00834502">
        <w:rPr>
          <w:rFonts w:ascii="Arial" w:hAnsi="Arial" w:cs="Arial"/>
          <w:sz w:val="20"/>
        </w:rPr>
        <w:t xml:space="preserve">employers will also need to make </w:t>
      </w:r>
      <w:r w:rsidR="00431296">
        <w:rPr>
          <w:rFonts w:ascii="Arial" w:hAnsi="Arial" w:cs="Arial"/>
          <w:sz w:val="20"/>
        </w:rPr>
        <w:t>superannuation guarantee contributions</w:t>
      </w:r>
      <w:r>
        <w:rPr>
          <w:rFonts w:ascii="Arial" w:hAnsi="Arial" w:cs="Arial"/>
          <w:sz w:val="20"/>
        </w:rPr>
        <w:t xml:space="preserve"> </w:t>
      </w:r>
      <w:r w:rsidR="00431296">
        <w:rPr>
          <w:rFonts w:ascii="Arial" w:hAnsi="Arial" w:cs="Arial"/>
          <w:sz w:val="20"/>
        </w:rPr>
        <w:t>on any salary sacrificed superannuation amounts.</w:t>
      </w:r>
    </w:p>
    <w:p w14:paraId="1A8E8159" w14:textId="77777777" w:rsidR="00F43C0A" w:rsidRDefault="00F43C0A" w:rsidP="00292812">
      <w:pPr>
        <w:pStyle w:val="BodyText3"/>
        <w:spacing w:line="276" w:lineRule="auto"/>
        <w:jc w:val="left"/>
        <w:rPr>
          <w:rFonts w:ascii="Arial" w:hAnsi="Arial" w:cs="Arial"/>
          <w:sz w:val="20"/>
        </w:rPr>
      </w:pPr>
    </w:p>
    <w:p w14:paraId="6804E2C2" w14:textId="4CF688CF" w:rsidR="00F43C0A" w:rsidRPr="007416A5" w:rsidRDefault="00292812" w:rsidP="00292812">
      <w:pPr>
        <w:pStyle w:val="BodyText3"/>
        <w:spacing w:line="276" w:lineRule="auto"/>
        <w:jc w:val="left"/>
        <w:rPr>
          <w:rFonts w:ascii="Arial" w:hAnsi="Arial" w:cs="Arial"/>
          <w:sz w:val="20"/>
          <w:lang w:val="en-US"/>
        </w:rPr>
      </w:pPr>
      <w:r>
        <w:rPr>
          <w:rFonts w:ascii="Arial" w:hAnsi="Arial" w:cs="Arial"/>
          <w:sz w:val="20"/>
        </w:rPr>
        <w:t>The</w:t>
      </w:r>
      <w:r w:rsidRPr="00292812">
        <w:rPr>
          <w:rFonts w:ascii="Arial" w:hAnsi="Arial" w:cs="Arial"/>
          <w:sz w:val="20"/>
        </w:rPr>
        <w:t xml:space="preserve"> ‘maximum contribution base’ is $</w:t>
      </w:r>
      <w:r w:rsidR="00431296">
        <w:rPr>
          <w:rFonts w:ascii="Arial" w:hAnsi="Arial" w:cs="Arial"/>
          <w:sz w:val="20"/>
        </w:rPr>
        <w:t>5</w:t>
      </w:r>
      <w:r w:rsidR="00B94335">
        <w:rPr>
          <w:rFonts w:ascii="Arial" w:hAnsi="Arial" w:cs="Arial"/>
          <w:sz w:val="20"/>
        </w:rPr>
        <w:t>5,270</w:t>
      </w:r>
      <w:r w:rsidRPr="00292812">
        <w:rPr>
          <w:rFonts w:ascii="Arial" w:hAnsi="Arial" w:cs="Arial"/>
          <w:sz w:val="20"/>
        </w:rPr>
        <w:t xml:space="preserve"> per quarter for the </w:t>
      </w:r>
      <w:r w:rsidR="00B94335" w:rsidRPr="00292812">
        <w:rPr>
          <w:rFonts w:ascii="Arial" w:hAnsi="Arial" w:cs="Arial"/>
          <w:sz w:val="20"/>
        </w:rPr>
        <w:t>20</w:t>
      </w:r>
      <w:r w:rsidR="00B94335">
        <w:rPr>
          <w:rFonts w:ascii="Arial" w:hAnsi="Arial" w:cs="Arial"/>
          <w:sz w:val="20"/>
        </w:rPr>
        <w:t>19</w:t>
      </w:r>
      <w:r w:rsidRPr="00292812">
        <w:rPr>
          <w:rFonts w:ascii="Arial" w:hAnsi="Arial" w:cs="Arial"/>
          <w:sz w:val="20"/>
        </w:rPr>
        <w:t>-</w:t>
      </w:r>
      <w:r w:rsidR="00B94335">
        <w:rPr>
          <w:rFonts w:ascii="Arial" w:hAnsi="Arial" w:cs="Arial"/>
          <w:sz w:val="20"/>
        </w:rPr>
        <w:t>20</w:t>
      </w:r>
      <w:r w:rsidRPr="00292812">
        <w:rPr>
          <w:rFonts w:ascii="Arial" w:hAnsi="Arial" w:cs="Arial"/>
          <w:sz w:val="20"/>
        </w:rPr>
        <w:t xml:space="preserve"> year</w:t>
      </w:r>
      <w:r w:rsidR="000C137A" w:rsidRPr="000C137A">
        <w:rPr>
          <w:rFonts w:ascii="Arial" w:hAnsi="Arial" w:cs="Arial"/>
          <w:sz w:val="20"/>
        </w:rPr>
        <w:t>. An employer is not required to provide the minimum superannuation guarantee support for that part of an employee’s</w:t>
      </w:r>
      <w:r w:rsidR="00F43C0A">
        <w:rPr>
          <w:rFonts w:ascii="Arial" w:hAnsi="Arial" w:cs="Arial"/>
          <w:sz w:val="20"/>
        </w:rPr>
        <w:t xml:space="preserve"> OTE above the quarterly maximum contribution base.</w:t>
      </w:r>
    </w:p>
    <w:p w14:paraId="1E7C2BDB" w14:textId="77777777" w:rsidR="00DD5962" w:rsidRPr="007416A5" w:rsidRDefault="00DD5962" w:rsidP="00292812">
      <w:pPr>
        <w:pStyle w:val="BodyText3"/>
        <w:spacing w:line="276" w:lineRule="auto"/>
        <w:jc w:val="left"/>
        <w:rPr>
          <w:rFonts w:ascii="Arial" w:hAnsi="Arial" w:cs="Arial"/>
          <w:sz w:val="20"/>
          <w:lang w:val="en-US"/>
        </w:rPr>
      </w:pPr>
    </w:p>
    <w:p w14:paraId="1CAB424F" w14:textId="035271AF" w:rsidR="003E00C1" w:rsidRDefault="003E00C1" w:rsidP="00292812">
      <w:pPr>
        <w:pStyle w:val="Pa5"/>
        <w:spacing w:line="276" w:lineRule="auto"/>
        <w:rPr>
          <w:rFonts w:ascii="Arial" w:hAnsi="Arial"/>
          <w:sz w:val="20"/>
          <w:szCs w:val="20"/>
          <w:lang w:eastAsia="en-US"/>
        </w:rPr>
      </w:pPr>
      <w:r>
        <w:rPr>
          <w:rFonts w:ascii="Arial" w:hAnsi="Arial"/>
          <w:sz w:val="20"/>
          <w:szCs w:val="20"/>
          <w:lang w:eastAsia="en-US"/>
        </w:rPr>
        <w:t xml:space="preserve">Employers must make superannuation contributions for their employees on a quarterly basis within 28 days of the end of each quarter, being 30 September, 31 December, 31 March and 30 June. However, whilst the superannuation guarantee contributions for the quarter ended 30 June </w:t>
      </w:r>
      <w:r w:rsidR="00B94335">
        <w:rPr>
          <w:rFonts w:ascii="Arial" w:hAnsi="Arial"/>
          <w:sz w:val="20"/>
          <w:szCs w:val="20"/>
          <w:lang w:eastAsia="en-US"/>
        </w:rPr>
        <w:t xml:space="preserve">2020 </w:t>
      </w:r>
      <w:r>
        <w:rPr>
          <w:rFonts w:ascii="Arial" w:hAnsi="Arial"/>
          <w:sz w:val="20"/>
          <w:szCs w:val="20"/>
          <w:lang w:eastAsia="en-US"/>
        </w:rPr>
        <w:t xml:space="preserve">are not due until 28 July </w:t>
      </w:r>
      <w:r w:rsidR="00B94335">
        <w:rPr>
          <w:rFonts w:ascii="Arial" w:hAnsi="Arial"/>
          <w:sz w:val="20"/>
          <w:szCs w:val="20"/>
          <w:lang w:eastAsia="en-US"/>
        </w:rPr>
        <w:t>2020</w:t>
      </w:r>
      <w:r>
        <w:rPr>
          <w:rFonts w:ascii="Arial" w:hAnsi="Arial"/>
          <w:sz w:val="20"/>
          <w:szCs w:val="20"/>
          <w:lang w:eastAsia="en-US"/>
        </w:rPr>
        <w:t xml:space="preserve">, a deduction for any contribution will only be available if the fund received the contribution by 30 June </w:t>
      </w:r>
      <w:r w:rsidR="00B94335">
        <w:rPr>
          <w:rFonts w:ascii="Arial" w:hAnsi="Arial"/>
          <w:sz w:val="20"/>
          <w:szCs w:val="20"/>
          <w:lang w:eastAsia="en-US"/>
        </w:rPr>
        <w:t>2020</w:t>
      </w:r>
      <w:r>
        <w:rPr>
          <w:rFonts w:ascii="Arial" w:hAnsi="Arial"/>
          <w:sz w:val="20"/>
          <w:szCs w:val="20"/>
          <w:lang w:eastAsia="en-US"/>
        </w:rPr>
        <w:t>.</w:t>
      </w:r>
    </w:p>
    <w:p w14:paraId="711B8AB1" w14:textId="77777777" w:rsidR="003E00C1" w:rsidRPr="003E00C1" w:rsidRDefault="003E00C1" w:rsidP="00292812">
      <w:pPr>
        <w:pStyle w:val="Default"/>
        <w:spacing w:line="276" w:lineRule="auto"/>
        <w:rPr>
          <w:lang w:eastAsia="en-US"/>
        </w:rPr>
      </w:pPr>
    </w:p>
    <w:p w14:paraId="48A498C5" w14:textId="77777777" w:rsidR="000C7DFB" w:rsidRDefault="007E5326" w:rsidP="00292812">
      <w:pPr>
        <w:pStyle w:val="Pa5"/>
        <w:spacing w:line="276" w:lineRule="auto"/>
        <w:rPr>
          <w:rFonts w:ascii="Arial" w:hAnsi="Arial"/>
          <w:sz w:val="20"/>
          <w:szCs w:val="20"/>
        </w:rPr>
      </w:pPr>
      <w:r w:rsidRPr="007416A5">
        <w:rPr>
          <w:rFonts w:ascii="Arial" w:hAnsi="Arial"/>
          <w:sz w:val="20"/>
          <w:szCs w:val="20"/>
          <w:lang w:eastAsia="en-US"/>
        </w:rPr>
        <w:t>It is i</w:t>
      </w:r>
      <w:r w:rsidR="0019687C" w:rsidRPr="007416A5">
        <w:rPr>
          <w:rFonts w:ascii="Arial" w:hAnsi="Arial"/>
          <w:sz w:val="20"/>
          <w:szCs w:val="20"/>
          <w:lang w:eastAsia="en-US"/>
        </w:rPr>
        <w:t>mportant</w:t>
      </w:r>
      <w:r w:rsidRPr="007416A5">
        <w:rPr>
          <w:rFonts w:ascii="Arial" w:hAnsi="Arial"/>
          <w:sz w:val="20"/>
          <w:szCs w:val="20"/>
          <w:lang w:eastAsia="en-US"/>
        </w:rPr>
        <w:t xml:space="preserve"> to note that </w:t>
      </w:r>
      <w:r w:rsidR="0019687C" w:rsidRPr="007416A5">
        <w:rPr>
          <w:rFonts w:ascii="Arial" w:hAnsi="Arial"/>
          <w:sz w:val="20"/>
          <w:szCs w:val="20"/>
          <w:lang w:eastAsia="en-US"/>
        </w:rPr>
        <w:t>the</w:t>
      </w:r>
      <w:r w:rsidR="00DD5962" w:rsidRPr="007416A5">
        <w:rPr>
          <w:rFonts w:ascii="Arial" w:hAnsi="Arial"/>
          <w:sz w:val="20"/>
          <w:szCs w:val="20"/>
          <w:lang w:eastAsia="en-US"/>
        </w:rPr>
        <w:t xml:space="preserve"> superannuation </w:t>
      </w:r>
      <w:r w:rsidRPr="007416A5">
        <w:rPr>
          <w:rFonts w:ascii="Arial" w:hAnsi="Arial"/>
          <w:sz w:val="20"/>
          <w:szCs w:val="20"/>
          <w:lang w:eastAsia="en-US"/>
        </w:rPr>
        <w:t xml:space="preserve">guarantee </w:t>
      </w:r>
      <w:r w:rsidR="00DD5962" w:rsidRPr="007416A5">
        <w:rPr>
          <w:rFonts w:ascii="Arial" w:hAnsi="Arial"/>
          <w:sz w:val="20"/>
          <w:szCs w:val="20"/>
          <w:lang w:eastAsia="en-US"/>
        </w:rPr>
        <w:t>legislation has an extended definition of who is considered</w:t>
      </w:r>
      <w:r w:rsidR="000C137A">
        <w:rPr>
          <w:rFonts w:ascii="Arial" w:hAnsi="Arial"/>
          <w:sz w:val="20"/>
          <w:szCs w:val="20"/>
          <w:lang w:eastAsia="en-US"/>
        </w:rPr>
        <w:t xml:space="preserve"> to be</w:t>
      </w:r>
      <w:r w:rsidR="00DD5962" w:rsidRPr="007416A5">
        <w:rPr>
          <w:rFonts w:ascii="Arial" w:hAnsi="Arial"/>
          <w:sz w:val="20"/>
          <w:szCs w:val="20"/>
          <w:lang w:eastAsia="en-US"/>
        </w:rPr>
        <w:t xml:space="preserve"> an employee</w:t>
      </w:r>
      <w:r w:rsidR="003E00C1">
        <w:rPr>
          <w:rFonts w:ascii="Arial" w:hAnsi="Arial"/>
          <w:sz w:val="20"/>
          <w:szCs w:val="20"/>
          <w:lang w:eastAsia="en-US"/>
        </w:rPr>
        <w:t xml:space="preserve"> which includes, amongst other things,</w:t>
      </w:r>
      <w:r w:rsidR="00DD5962" w:rsidRPr="007416A5">
        <w:rPr>
          <w:rFonts w:ascii="Arial" w:hAnsi="Arial"/>
          <w:sz w:val="20"/>
          <w:szCs w:val="20"/>
          <w:lang w:eastAsia="en-US"/>
        </w:rPr>
        <w:t xml:space="preserve"> </w:t>
      </w:r>
      <w:r w:rsidR="003E00C1">
        <w:rPr>
          <w:rFonts w:ascii="Arial" w:hAnsi="Arial"/>
          <w:sz w:val="20"/>
          <w:szCs w:val="20"/>
          <w:lang w:eastAsia="en-US"/>
        </w:rPr>
        <w:t xml:space="preserve">a person who works under a contract wholly or principally for labour. Accordingly, </w:t>
      </w:r>
      <w:r w:rsidR="00DD5962" w:rsidRPr="007416A5">
        <w:rPr>
          <w:rFonts w:ascii="Arial" w:hAnsi="Arial"/>
          <w:sz w:val="20"/>
          <w:szCs w:val="20"/>
          <w:lang w:eastAsia="en-US"/>
        </w:rPr>
        <w:t xml:space="preserve">organisations </w:t>
      </w:r>
      <w:r w:rsidR="003E00C1">
        <w:rPr>
          <w:rFonts w:ascii="Arial" w:hAnsi="Arial"/>
          <w:sz w:val="20"/>
          <w:szCs w:val="20"/>
          <w:lang w:eastAsia="en-US"/>
        </w:rPr>
        <w:t>which engage</w:t>
      </w:r>
      <w:r w:rsidR="00DD5962" w:rsidRPr="007416A5">
        <w:rPr>
          <w:rFonts w:ascii="Arial" w:hAnsi="Arial"/>
          <w:sz w:val="20"/>
          <w:szCs w:val="20"/>
          <w:lang w:eastAsia="en-US"/>
        </w:rPr>
        <w:t xml:space="preserve"> independent contractors may </w:t>
      </w:r>
      <w:r w:rsidR="003E00C1">
        <w:rPr>
          <w:rFonts w:ascii="Arial" w:hAnsi="Arial"/>
          <w:sz w:val="20"/>
          <w:szCs w:val="20"/>
          <w:lang w:eastAsia="en-US"/>
        </w:rPr>
        <w:t>wish to check whether superannuation guarantee contributions need to be made in respect of such persons</w:t>
      </w:r>
      <w:r w:rsidR="00DD5962" w:rsidRPr="007416A5">
        <w:rPr>
          <w:rFonts w:ascii="Arial" w:hAnsi="Arial"/>
          <w:sz w:val="20"/>
          <w:szCs w:val="20"/>
          <w:lang w:eastAsia="en-US"/>
        </w:rPr>
        <w:t>. Further, d</w:t>
      </w:r>
      <w:r w:rsidR="00DD5962" w:rsidRPr="007416A5">
        <w:rPr>
          <w:rFonts w:ascii="Arial" w:hAnsi="Arial"/>
          <w:sz w:val="20"/>
          <w:szCs w:val="20"/>
        </w:rPr>
        <w:t>ifferent award arrangements may result in additional superannuation obligations.</w:t>
      </w:r>
    </w:p>
    <w:p w14:paraId="6D8589C4" w14:textId="77777777" w:rsidR="003E00C1" w:rsidRDefault="003E00C1" w:rsidP="00292812">
      <w:pPr>
        <w:pStyle w:val="Default"/>
        <w:spacing w:line="276" w:lineRule="auto"/>
      </w:pPr>
    </w:p>
    <w:p w14:paraId="370319FE" w14:textId="556BEB60" w:rsidR="003E00C1" w:rsidRDefault="00515310" w:rsidP="00B94335">
      <w:pPr>
        <w:pStyle w:val="Default"/>
        <w:spacing w:line="276" w:lineRule="auto"/>
        <w:rPr>
          <w:rFonts w:ascii="Arial" w:hAnsi="Arial" w:cs="Arial"/>
          <w:sz w:val="20"/>
          <w:szCs w:val="20"/>
        </w:rPr>
      </w:pPr>
      <w:r>
        <w:rPr>
          <w:rFonts w:ascii="Arial" w:hAnsi="Arial" w:cs="Arial"/>
          <w:sz w:val="20"/>
          <w:szCs w:val="20"/>
        </w:rPr>
        <w:t>E</w:t>
      </w:r>
      <w:r w:rsidR="00B94335">
        <w:rPr>
          <w:rFonts w:ascii="Arial" w:hAnsi="Arial" w:cs="Arial"/>
          <w:sz w:val="20"/>
          <w:szCs w:val="20"/>
        </w:rPr>
        <w:t>mployers are</w:t>
      </w:r>
      <w:r w:rsidR="009A189F">
        <w:rPr>
          <w:rFonts w:ascii="Arial" w:hAnsi="Arial" w:cs="Arial"/>
          <w:sz w:val="20"/>
          <w:szCs w:val="20"/>
        </w:rPr>
        <w:t xml:space="preserve"> generally</w:t>
      </w:r>
      <w:r w:rsidR="00B94335">
        <w:rPr>
          <w:rFonts w:ascii="Arial" w:hAnsi="Arial" w:cs="Arial"/>
          <w:sz w:val="20"/>
          <w:szCs w:val="20"/>
        </w:rPr>
        <w:t xml:space="preserve"> </w:t>
      </w:r>
      <w:r w:rsidR="003E00C1" w:rsidRPr="003E00C1">
        <w:rPr>
          <w:rFonts w:ascii="Arial" w:hAnsi="Arial" w:cs="Arial"/>
          <w:sz w:val="20"/>
          <w:szCs w:val="20"/>
        </w:rPr>
        <w:t>required to report any superannuation contributions made in respect of an employee to the ATO using Single Touch Payroll (</w:t>
      </w:r>
      <w:r w:rsidR="003E00C1" w:rsidRPr="001667BE">
        <w:rPr>
          <w:rFonts w:ascii="Arial" w:hAnsi="Arial" w:cs="Arial"/>
          <w:b/>
          <w:bCs/>
          <w:sz w:val="20"/>
          <w:szCs w:val="20"/>
        </w:rPr>
        <w:t>STP</w:t>
      </w:r>
      <w:r w:rsidR="003E00C1" w:rsidRPr="003E00C1">
        <w:rPr>
          <w:rFonts w:ascii="Arial" w:hAnsi="Arial" w:cs="Arial"/>
          <w:sz w:val="20"/>
          <w:szCs w:val="20"/>
        </w:rPr>
        <w:t xml:space="preserve">) enabled software. </w:t>
      </w:r>
      <w:r w:rsidR="00702791">
        <w:rPr>
          <w:rFonts w:ascii="Arial" w:hAnsi="Arial" w:cs="Arial"/>
          <w:sz w:val="20"/>
          <w:szCs w:val="20"/>
        </w:rPr>
        <w:t>There are exclusions in certain situations such as micro employers or small employers who have 19 or fewer employees who don’t have to report payments to ‘closely held payees’ through STP or employers who are seasonal and intermittent employers or employ inbound assignees.</w:t>
      </w:r>
    </w:p>
    <w:p w14:paraId="28F85AA3" w14:textId="43D4AB03" w:rsidR="00431296" w:rsidRDefault="00431296" w:rsidP="00B94335">
      <w:pPr>
        <w:pStyle w:val="Default"/>
        <w:spacing w:line="276" w:lineRule="auto"/>
        <w:rPr>
          <w:rFonts w:ascii="Arial" w:hAnsi="Arial" w:cs="Arial"/>
          <w:sz w:val="20"/>
          <w:szCs w:val="20"/>
        </w:rPr>
      </w:pPr>
    </w:p>
    <w:p w14:paraId="50B15B5E" w14:textId="5E546936" w:rsidR="00431296" w:rsidRPr="003E00C1" w:rsidRDefault="00431296" w:rsidP="00B94335">
      <w:pPr>
        <w:pStyle w:val="Default"/>
        <w:spacing w:line="276" w:lineRule="auto"/>
        <w:rPr>
          <w:rFonts w:ascii="Arial" w:hAnsi="Arial" w:cs="Arial"/>
          <w:sz w:val="20"/>
          <w:szCs w:val="20"/>
        </w:rPr>
      </w:pPr>
      <w:r w:rsidRPr="00311388">
        <w:rPr>
          <w:rFonts w:ascii="Arial" w:hAnsi="Arial" w:cs="Arial"/>
          <w:sz w:val="20"/>
          <w:szCs w:val="20"/>
        </w:rPr>
        <w:t xml:space="preserve">STP requires real time reporting of </w:t>
      </w:r>
      <w:r w:rsidR="00515310">
        <w:rPr>
          <w:rFonts w:ascii="Arial" w:hAnsi="Arial" w:cs="Arial"/>
          <w:sz w:val="20"/>
          <w:szCs w:val="20"/>
        </w:rPr>
        <w:t>superannuation guarantee</w:t>
      </w:r>
      <w:r w:rsidRPr="00311388">
        <w:rPr>
          <w:rFonts w:ascii="Arial" w:hAnsi="Arial" w:cs="Arial"/>
          <w:sz w:val="20"/>
          <w:szCs w:val="20"/>
        </w:rPr>
        <w:t xml:space="preserve"> obligations, meaning that the ATO can quickly identify late and underpayments of </w:t>
      </w:r>
      <w:r w:rsidR="00515310">
        <w:rPr>
          <w:rFonts w:ascii="Arial" w:hAnsi="Arial" w:cs="Arial"/>
          <w:sz w:val="20"/>
          <w:szCs w:val="20"/>
        </w:rPr>
        <w:t>superannuation guarantee</w:t>
      </w:r>
      <w:r w:rsidR="00515310" w:rsidRPr="00B70EB8">
        <w:rPr>
          <w:rFonts w:ascii="Arial" w:hAnsi="Arial" w:cs="Arial"/>
          <w:sz w:val="20"/>
          <w:szCs w:val="20"/>
        </w:rPr>
        <w:t xml:space="preserve"> </w:t>
      </w:r>
      <w:r w:rsidRPr="00311388">
        <w:rPr>
          <w:rFonts w:ascii="Arial" w:hAnsi="Arial" w:cs="Arial"/>
          <w:sz w:val="20"/>
          <w:szCs w:val="20"/>
        </w:rPr>
        <w:t>because of data matching with SuperStream and superannuation fund reporting information.</w:t>
      </w:r>
    </w:p>
    <w:p w14:paraId="0D08ED6F" w14:textId="77777777" w:rsidR="000C7DFB" w:rsidRPr="00311388" w:rsidRDefault="000C7DFB" w:rsidP="00311388">
      <w:pPr>
        <w:pStyle w:val="Default"/>
        <w:spacing w:line="276" w:lineRule="auto"/>
        <w:rPr>
          <w:rFonts w:ascii="Arial" w:hAnsi="Arial" w:cs="Arial"/>
          <w:sz w:val="20"/>
          <w:szCs w:val="20"/>
        </w:rPr>
      </w:pPr>
    </w:p>
    <w:p w14:paraId="2A896BBB" w14:textId="7BA05DA6" w:rsidR="000C7DFB" w:rsidRDefault="0019687C" w:rsidP="00292812">
      <w:pPr>
        <w:pStyle w:val="Pa5"/>
        <w:spacing w:line="276" w:lineRule="auto"/>
        <w:rPr>
          <w:rFonts w:ascii="Arial" w:hAnsi="Arial"/>
          <w:sz w:val="20"/>
          <w:szCs w:val="20"/>
          <w:lang w:eastAsia="en-US"/>
        </w:rPr>
      </w:pPr>
      <w:r w:rsidRPr="007416A5">
        <w:rPr>
          <w:rFonts w:ascii="Arial" w:hAnsi="Arial"/>
          <w:sz w:val="20"/>
          <w:szCs w:val="20"/>
          <w:lang w:eastAsia="en-US"/>
        </w:rPr>
        <w:t>If you are not</w:t>
      </w:r>
      <w:r w:rsidR="00DD5962" w:rsidRPr="007416A5">
        <w:rPr>
          <w:rFonts w:ascii="Arial" w:hAnsi="Arial"/>
          <w:sz w:val="20"/>
          <w:szCs w:val="20"/>
          <w:lang w:eastAsia="en-US"/>
        </w:rPr>
        <w:t xml:space="preserve"> capturing the appropriate</w:t>
      </w:r>
      <w:r w:rsidRPr="007416A5">
        <w:rPr>
          <w:rFonts w:ascii="Arial" w:hAnsi="Arial"/>
          <w:sz w:val="20"/>
          <w:szCs w:val="20"/>
          <w:lang w:eastAsia="en-US"/>
        </w:rPr>
        <w:t xml:space="preserve"> employee/contractor information</w:t>
      </w:r>
      <w:r w:rsidR="00515310">
        <w:rPr>
          <w:rFonts w:ascii="Arial" w:hAnsi="Arial"/>
          <w:sz w:val="20"/>
          <w:szCs w:val="20"/>
          <w:lang w:eastAsia="en-US"/>
        </w:rPr>
        <w:t xml:space="preserve">, or correctly calculating the amount of </w:t>
      </w:r>
      <w:r w:rsidR="009A189F">
        <w:rPr>
          <w:rFonts w:ascii="Arial" w:hAnsi="Arial"/>
          <w:sz w:val="20"/>
          <w:szCs w:val="20"/>
          <w:lang w:eastAsia="en-US"/>
        </w:rPr>
        <w:t xml:space="preserve">superannuation guarantee </w:t>
      </w:r>
      <w:r w:rsidR="00515310">
        <w:rPr>
          <w:rFonts w:ascii="Arial" w:hAnsi="Arial"/>
          <w:sz w:val="20"/>
          <w:szCs w:val="20"/>
          <w:lang w:eastAsia="en-US"/>
        </w:rPr>
        <w:t>contributions</w:t>
      </w:r>
      <w:r w:rsidR="007E5326" w:rsidRPr="007416A5">
        <w:rPr>
          <w:rFonts w:ascii="Arial" w:hAnsi="Arial"/>
          <w:sz w:val="20"/>
          <w:szCs w:val="20"/>
          <w:lang w:eastAsia="en-US"/>
        </w:rPr>
        <w:t>,</w:t>
      </w:r>
      <w:r w:rsidRPr="007416A5">
        <w:rPr>
          <w:rFonts w:ascii="Arial" w:hAnsi="Arial"/>
          <w:sz w:val="20"/>
          <w:szCs w:val="20"/>
          <w:lang w:eastAsia="en-US"/>
        </w:rPr>
        <w:t xml:space="preserve"> you may have a </w:t>
      </w:r>
      <w:r w:rsidR="00DD5962" w:rsidRPr="007416A5">
        <w:rPr>
          <w:rFonts w:ascii="Arial" w:hAnsi="Arial"/>
          <w:sz w:val="20"/>
          <w:szCs w:val="20"/>
          <w:lang w:eastAsia="en-US"/>
        </w:rPr>
        <w:t xml:space="preserve">superannuation </w:t>
      </w:r>
      <w:r w:rsidRPr="007416A5">
        <w:rPr>
          <w:rFonts w:ascii="Arial" w:hAnsi="Arial"/>
          <w:sz w:val="20"/>
          <w:szCs w:val="20"/>
          <w:lang w:eastAsia="en-US"/>
        </w:rPr>
        <w:t>guarantee shortfall</w:t>
      </w:r>
      <w:r w:rsidR="007E5326" w:rsidRPr="007416A5">
        <w:rPr>
          <w:rFonts w:ascii="Arial" w:hAnsi="Arial"/>
          <w:sz w:val="20"/>
          <w:szCs w:val="20"/>
          <w:lang w:eastAsia="en-US"/>
        </w:rPr>
        <w:t xml:space="preserve"> and</w:t>
      </w:r>
      <w:r w:rsidRPr="007416A5">
        <w:rPr>
          <w:rFonts w:ascii="Arial" w:hAnsi="Arial"/>
          <w:sz w:val="20"/>
          <w:szCs w:val="20"/>
          <w:lang w:eastAsia="en-US"/>
        </w:rPr>
        <w:t xml:space="preserve"> this </w:t>
      </w:r>
      <w:r w:rsidR="00DD5962" w:rsidRPr="007416A5">
        <w:rPr>
          <w:rFonts w:ascii="Arial" w:hAnsi="Arial"/>
          <w:sz w:val="20"/>
          <w:szCs w:val="20"/>
          <w:lang w:eastAsia="en-US"/>
        </w:rPr>
        <w:t xml:space="preserve">may trigger a full employer obligations audit by the ATO. </w:t>
      </w:r>
    </w:p>
    <w:p w14:paraId="49DF7081" w14:textId="77777777" w:rsidR="00CC497C" w:rsidRPr="007416A5" w:rsidRDefault="00CC497C" w:rsidP="00292812">
      <w:pPr>
        <w:spacing w:line="276" w:lineRule="auto"/>
        <w:jc w:val="left"/>
        <w:rPr>
          <w:rFonts w:ascii="Arial" w:hAnsi="Arial" w:cs="Arial"/>
          <w:sz w:val="20"/>
        </w:rPr>
      </w:pPr>
    </w:p>
    <w:p w14:paraId="1BEBD830" w14:textId="77777777" w:rsidR="00CC497C" w:rsidRPr="007416A5" w:rsidRDefault="00292812" w:rsidP="00292812">
      <w:pPr>
        <w:pStyle w:val="Heading1"/>
        <w:spacing w:line="276" w:lineRule="auto"/>
        <w:jc w:val="left"/>
        <w:rPr>
          <w:rFonts w:ascii="Arial" w:hAnsi="Arial" w:cs="Arial"/>
          <w:bCs/>
          <w:sz w:val="20"/>
        </w:rPr>
      </w:pPr>
      <w:r>
        <w:rPr>
          <w:rFonts w:ascii="Arial" w:hAnsi="Arial" w:cs="Arial"/>
          <w:bCs/>
          <w:sz w:val="20"/>
        </w:rPr>
        <w:t>Consequences</w:t>
      </w:r>
      <w:r w:rsidR="007235F2">
        <w:rPr>
          <w:rFonts w:ascii="Arial" w:hAnsi="Arial" w:cs="Arial"/>
          <w:bCs/>
          <w:sz w:val="20"/>
        </w:rPr>
        <w:t xml:space="preserve"> of n</w:t>
      </w:r>
      <w:r w:rsidR="00CC497C" w:rsidRPr="007416A5">
        <w:rPr>
          <w:rFonts w:ascii="Arial" w:hAnsi="Arial" w:cs="Arial"/>
          <w:bCs/>
          <w:sz w:val="20"/>
        </w:rPr>
        <w:t>on-</w:t>
      </w:r>
      <w:r w:rsidR="007235F2">
        <w:rPr>
          <w:rFonts w:ascii="Arial" w:hAnsi="Arial" w:cs="Arial"/>
          <w:bCs/>
          <w:sz w:val="20"/>
        </w:rPr>
        <w:t>c</w:t>
      </w:r>
      <w:r w:rsidR="00CC497C" w:rsidRPr="007416A5">
        <w:rPr>
          <w:rFonts w:ascii="Arial" w:hAnsi="Arial" w:cs="Arial"/>
          <w:bCs/>
          <w:sz w:val="20"/>
        </w:rPr>
        <w:t>ompliance</w:t>
      </w:r>
    </w:p>
    <w:p w14:paraId="41D15C50" w14:textId="77777777" w:rsidR="00CC497C" w:rsidRPr="007416A5" w:rsidRDefault="00CC497C" w:rsidP="00292812">
      <w:pPr>
        <w:spacing w:line="276" w:lineRule="auto"/>
        <w:jc w:val="left"/>
        <w:rPr>
          <w:rFonts w:ascii="Arial" w:hAnsi="Arial" w:cs="Arial"/>
          <w:sz w:val="20"/>
        </w:rPr>
      </w:pPr>
    </w:p>
    <w:p w14:paraId="17CF4FB8"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Employers that are found to have failed to provide the prescribed minimum standards of superannuation support for their employees will be subject to the Superannuation Guarantee Charge (</w:t>
      </w:r>
      <w:r w:rsidRPr="001667BE">
        <w:rPr>
          <w:rFonts w:ascii="Arial" w:hAnsi="Arial" w:cs="Arial"/>
          <w:bCs/>
          <w:sz w:val="20"/>
        </w:rPr>
        <w:t>SGC</w:t>
      </w:r>
      <w:r w:rsidRPr="007416A5">
        <w:rPr>
          <w:rFonts w:ascii="Arial" w:hAnsi="Arial" w:cs="Arial"/>
          <w:b w:val="0"/>
          <w:sz w:val="20"/>
        </w:rPr>
        <w:t xml:space="preserve">). </w:t>
      </w:r>
    </w:p>
    <w:p w14:paraId="0731F37B" w14:textId="77777777" w:rsidR="00292812" w:rsidRDefault="00292812" w:rsidP="00292812">
      <w:pPr>
        <w:pStyle w:val="BodyText"/>
        <w:spacing w:line="276" w:lineRule="auto"/>
        <w:rPr>
          <w:rFonts w:ascii="Arial" w:hAnsi="Arial" w:cs="Arial"/>
          <w:b w:val="0"/>
          <w:sz w:val="20"/>
        </w:rPr>
      </w:pPr>
    </w:p>
    <w:p w14:paraId="22565A8D" w14:textId="76488D6F" w:rsidR="00CC497C" w:rsidRPr="007416A5" w:rsidRDefault="00292812" w:rsidP="00292812">
      <w:pPr>
        <w:pStyle w:val="BodyText"/>
        <w:spacing w:line="276" w:lineRule="auto"/>
        <w:rPr>
          <w:rFonts w:ascii="Arial" w:hAnsi="Arial" w:cs="Arial"/>
          <w:b w:val="0"/>
          <w:sz w:val="20"/>
        </w:rPr>
      </w:pPr>
      <w:r>
        <w:rPr>
          <w:rFonts w:ascii="Arial" w:hAnsi="Arial" w:cs="Arial"/>
          <w:b w:val="0"/>
          <w:sz w:val="20"/>
        </w:rPr>
        <w:t>T</w:t>
      </w:r>
      <w:r w:rsidR="00CC497C" w:rsidRPr="007416A5">
        <w:rPr>
          <w:rFonts w:ascii="Arial" w:hAnsi="Arial" w:cs="Arial"/>
          <w:b w:val="0"/>
          <w:sz w:val="20"/>
        </w:rPr>
        <w:t xml:space="preserve">he SGC </w:t>
      </w:r>
      <w:r w:rsidR="007E5326" w:rsidRPr="007416A5">
        <w:rPr>
          <w:rFonts w:ascii="Arial" w:hAnsi="Arial" w:cs="Arial"/>
          <w:b w:val="0"/>
          <w:sz w:val="20"/>
        </w:rPr>
        <w:t xml:space="preserve">penalty </w:t>
      </w:r>
      <w:r w:rsidR="00CC497C" w:rsidRPr="007416A5">
        <w:rPr>
          <w:rFonts w:ascii="Arial" w:hAnsi="Arial" w:cs="Arial"/>
          <w:b w:val="0"/>
          <w:sz w:val="20"/>
        </w:rPr>
        <w:t xml:space="preserve">consists of the shortfall between the minimum superannuation support required to be made </w:t>
      </w:r>
      <w:r w:rsidR="003E00C1">
        <w:rPr>
          <w:rFonts w:ascii="Arial" w:hAnsi="Arial" w:cs="Arial"/>
          <w:b w:val="0"/>
          <w:sz w:val="20"/>
        </w:rPr>
        <w:t xml:space="preserve">each quarter </w:t>
      </w:r>
      <w:r w:rsidR="00CC497C" w:rsidRPr="007416A5">
        <w:rPr>
          <w:rFonts w:ascii="Arial" w:hAnsi="Arial" w:cs="Arial"/>
          <w:b w:val="0"/>
          <w:sz w:val="20"/>
        </w:rPr>
        <w:t>and what was actually contributed by the employer</w:t>
      </w:r>
      <w:r w:rsidR="000C137A">
        <w:rPr>
          <w:rFonts w:ascii="Arial" w:hAnsi="Arial" w:cs="Arial"/>
          <w:b w:val="0"/>
          <w:sz w:val="20"/>
        </w:rPr>
        <w:t xml:space="preserve"> in respect of each employee</w:t>
      </w:r>
      <w:r w:rsidR="00CC497C" w:rsidRPr="007416A5">
        <w:rPr>
          <w:rFonts w:ascii="Arial" w:hAnsi="Arial" w:cs="Arial"/>
          <w:b w:val="0"/>
          <w:sz w:val="20"/>
        </w:rPr>
        <w:t xml:space="preserve">, plus an administrative </w:t>
      </w:r>
      <w:r w:rsidR="001611ED">
        <w:rPr>
          <w:rFonts w:ascii="Arial" w:hAnsi="Arial" w:cs="Arial"/>
          <w:b w:val="0"/>
          <w:sz w:val="20"/>
        </w:rPr>
        <w:t>component</w:t>
      </w:r>
      <w:r w:rsidR="001611ED" w:rsidRPr="007416A5">
        <w:rPr>
          <w:rFonts w:ascii="Arial" w:hAnsi="Arial" w:cs="Arial"/>
          <w:b w:val="0"/>
          <w:sz w:val="20"/>
        </w:rPr>
        <w:t xml:space="preserve"> </w:t>
      </w:r>
      <w:r w:rsidR="001611ED">
        <w:rPr>
          <w:rFonts w:ascii="Arial" w:hAnsi="Arial" w:cs="Arial"/>
          <w:b w:val="0"/>
          <w:sz w:val="20"/>
        </w:rPr>
        <w:t xml:space="preserve">of $20 per employee per quarter </w:t>
      </w:r>
      <w:r w:rsidR="00CC497C" w:rsidRPr="007416A5">
        <w:rPr>
          <w:rFonts w:ascii="Arial" w:hAnsi="Arial" w:cs="Arial"/>
          <w:b w:val="0"/>
          <w:sz w:val="20"/>
        </w:rPr>
        <w:t xml:space="preserve">and </w:t>
      </w:r>
      <w:r>
        <w:rPr>
          <w:rFonts w:ascii="Arial" w:hAnsi="Arial" w:cs="Arial"/>
          <w:b w:val="0"/>
          <w:sz w:val="20"/>
        </w:rPr>
        <w:t xml:space="preserve">nominal </w:t>
      </w:r>
      <w:r w:rsidR="00CC497C" w:rsidRPr="007416A5">
        <w:rPr>
          <w:rFonts w:ascii="Arial" w:hAnsi="Arial" w:cs="Arial"/>
          <w:b w:val="0"/>
          <w:sz w:val="20"/>
        </w:rPr>
        <w:t>interest amount (representing a proxy f</w:t>
      </w:r>
      <w:r w:rsidR="007416A5">
        <w:rPr>
          <w:rFonts w:ascii="Arial" w:hAnsi="Arial" w:cs="Arial"/>
          <w:b w:val="0"/>
          <w:sz w:val="20"/>
        </w:rPr>
        <w:t xml:space="preserve">or superannuation earnings). </w:t>
      </w:r>
      <w:r w:rsidR="00CC497C" w:rsidRPr="007416A5">
        <w:rPr>
          <w:rFonts w:ascii="Arial" w:hAnsi="Arial" w:cs="Arial"/>
          <w:b w:val="0"/>
          <w:sz w:val="20"/>
        </w:rPr>
        <w:t>The super</w:t>
      </w:r>
      <w:r w:rsidR="000C137A">
        <w:rPr>
          <w:rFonts w:ascii="Arial" w:hAnsi="Arial" w:cs="Arial"/>
          <w:b w:val="0"/>
          <w:sz w:val="20"/>
        </w:rPr>
        <w:t>annuation</w:t>
      </w:r>
      <w:r w:rsidR="00CC497C" w:rsidRPr="007416A5">
        <w:rPr>
          <w:rFonts w:ascii="Arial" w:hAnsi="Arial" w:cs="Arial"/>
          <w:b w:val="0"/>
          <w:sz w:val="20"/>
        </w:rPr>
        <w:t xml:space="preserve"> guarantee shortfall is worked out by multiplying the notional quarterly shortfall percentage by the employee’s salary or </w:t>
      </w:r>
      <w:r w:rsidR="005F0334" w:rsidRPr="007416A5">
        <w:rPr>
          <w:rFonts w:ascii="Arial" w:hAnsi="Arial" w:cs="Arial"/>
          <w:b w:val="0"/>
          <w:sz w:val="20"/>
        </w:rPr>
        <w:t>wages. In</w:t>
      </w:r>
      <w:r w:rsidR="00CC497C" w:rsidRPr="007416A5">
        <w:rPr>
          <w:rFonts w:ascii="Arial" w:hAnsi="Arial" w:cs="Arial"/>
          <w:b w:val="0"/>
          <w:sz w:val="20"/>
        </w:rPr>
        <w:t xml:space="preserve"> some cases, the employee’s salary or wages amount will exceed that of their ordinary time earnings.</w:t>
      </w:r>
    </w:p>
    <w:p w14:paraId="65DC94C8" w14:textId="77777777" w:rsidR="00CC497C" w:rsidRPr="007416A5" w:rsidRDefault="00CC497C" w:rsidP="00292812">
      <w:pPr>
        <w:pStyle w:val="BodyText"/>
        <w:spacing w:line="276" w:lineRule="auto"/>
        <w:rPr>
          <w:rFonts w:ascii="Arial" w:hAnsi="Arial" w:cs="Arial"/>
          <w:b w:val="0"/>
          <w:sz w:val="20"/>
        </w:rPr>
      </w:pPr>
    </w:p>
    <w:p w14:paraId="5A44BA62" w14:textId="77777777" w:rsidR="00CC497C"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 SGC is not deductible for tax purposes. </w:t>
      </w:r>
      <w:r w:rsidR="00763CAE" w:rsidRPr="007416A5">
        <w:rPr>
          <w:rFonts w:ascii="Arial" w:hAnsi="Arial" w:cs="Arial"/>
          <w:b w:val="0"/>
          <w:sz w:val="20"/>
        </w:rPr>
        <w:t>Other additional penalties</w:t>
      </w:r>
      <w:r w:rsidRPr="007416A5">
        <w:rPr>
          <w:rFonts w:ascii="Arial" w:hAnsi="Arial" w:cs="Arial"/>
          <w:b w:val="0"/>
          <w:sz w:val="20"/>
        </w:rPr>
        <w:t xml:space="preserve"> that the ATO may impose are:</w:t>
      </w:r>
    </w:p>
    <w:p w14:paraId="19AF39DD" w14:textId="77777777" w:rsidR="00292812" w:rsidRPr="007416A5" w:rsidRDefault="00292812" w:rsidP="00292812">
      <w:pPr>
        <w:pStyle w:val="BodyText"/>
        <w:spacing w:line="276" w:lineRule="auto"/>
        <w:rPr>
          <w:rFonts w:ascii="Arial" w:hAnsi="Arial" w:cs="Arial"/>
          <w:b w:val="0"/>
          <w:sz w:val="20"/>
        </w:rPr>
      </w:pPr>
    </w:p>
    <w:p w14:paraId="724B9B37" w14:textId="7C400460" w:rsidR="00CC497C" w:rsidRPr="007416A5" w:rsidRDefault="00CC497C" w:rsidP="00292812">
      <w:pPr>
        <w:pStyle w:val="BodyText"/>
        <w:numPr>
          <w:ilvl w:val="0"/>
          <w:numId w:val="1"/>
        </w:numPr>
        <w:spacing w:line="276" w:lineRule="auto"/>
        <w:ind w:left="763"/>
        <w:rPr>
          <w:rFonts w:ascii="Arial" w:hAnsi="Arial" w:cs="Arial"/>
          <w:b w:val="0"/>
          <w:sz w:val="20"/>
        </w:rPr>
      </w:pPr>
      <w:r w:rsidRPr="007416A5">
        <w:rPr>
          <w:rFonts w:ascii="Arial" w:hAnsi="Arial" w:cs="Arial"/>
          <w:b w:val="0"/>
          <w:sz w:val="20"/>
        </w:rPr>
        <w:t xml:space="preserve">an administrative penalty of 75% of the shortfall if you make a false or misleading statement which results in you paying less than the required </w:t>
      </w:r>
      <w:r w:rsidR="005F0334" w:rsidRPr="007416A5">
        <w:rPr>
          <w:rFonts w:ascii="Arial" w:hAnsi="Arial" w:cs="Arial"/>
          <w:b w:val="0"/>
          <w:sz w:val="20"/>
        </w:rPr>
        <w:t xml:space="preserve">SGC </w:t>
      </w:r>
    </w:p>
    <w:p w14:paraId="559FCDEF" w14:textId="2F291C79" w:rsidR="001611ED" w:rsidRDefault="000C137A" w:rsidP="00292812">
      <w:pPr>
        <w:pStyle w:val="BodyText"/>
        <w:numPr>
          <w:ilvl w:val="0"/>
          <w:numId w:val="1"/>
        </w:numPr>
        <w:spacing w:line="276" w:lineRule="auto"/>
        <w:rPr>
          <w:rFonts w:ascii="Arial" w:hAnsi="Arial" w:cs="Arial"/>
          <w:b w:val="0"/>
          <w:sz w:val="20"/>
        </w:rPr>
      </w:pPr>
      <w:r w:rsidRPr="000C137A">
        <w:rPr>
          <w:rFonts w:ascii="Arial" w:hAnsi="Arial" w:cs="Arial"/>
          <w:b w:val="0"/>
          <w:sz w:val="20"/>
        </w:rPr>
        <w:t>penalties for failing to keep adequate records</w:t>
      </w:r>
      <w:r w:rsidR="001611ED">
        <w:rPr>
          <w:rFonts w:ascii="Arial" w:hAnsi="Arial" w:cs="Arial"/>
          <w:b w:val="0"/>
          <w:sz w:val="20"/>
        </w:rPr>
        <w:t xml:space="preserve"> and / or</w:t>
      </w:r>
    </w:p>
    <w:p w14:paraId="598E7534" w14:textId="7F34F492" w:rsidR="00CC497C" w:rsidRPr="007416A5" w:rsidRDefault="001611ED" w:rsidP="00292812">
      <w:pPr>
        <w:pStyle w:val="BodyText"/>
        <w:numPr>
          <w:ilvl w:val="0"/>
          <w:numId w:val="1"/>
        </w:numPr>
        <w:spacing w:line="276" w:lineRule="auto"/>
        <w:rPr>
          <w:rFonts w:ascii="Arial" w:hAnsi="Arial" w:cs="Arial"/>
          <w:b w:val="0"/>
          <w:sz w:val="20"/>
        </w:rPr>
      </w:pPr>
      <w:r>
        <w:rPr>
          <w:rFonts w:ascii="Arial" w:hAnsi="Arial" w:cs="Arial"/>
          <w:b w:val="0"/>
          <w:sz w:val="20"/>
        </w:rPr>
        <w:t>penalties for lodging the SCG statement late or failing to provide a statement or information when requested to do so during an audit (Part 7 penalty)</w:t>
      </w:r>
      <w:r w:rsidR="007F4389">
        <w:rPr>
          <w:rFonts w:ascii="Arial" w:hAnsi="Arial" w:cs="Arial"/>
          <w:b w:val="0"/>
          <w:sz w:val="20"/>
        </w:rPr>
        <w:t>.</w:t>
      </w:r>
    </w:p>
    <w:p w14:paraId="49333F34" w14:textId="77777777" w:rsidR="00CC497C" w:rsidRPr="007416A5" w:rsidRDefault="00CC497C" w:rsidP="00292812">
      <w:pPr>
        <w:pStyle w:val="BodyText"/>
        <w:spacing w:line="276" w:lineRule="auto"/>
        <w:rPr>
          <w:rFonts w:ascii="Arial" w:hAnsi="Arial" w:cs="Arial"/>
          <w:b w:val="0"/>
          <w:sz w:val="20"/>
        </w:rPr>
      </w:pPr>
    </w:p>
    <w:p w14:paraId="4E0C9CA2" w14:textId="77777777" w:rsidR="00292812" w:rsidRDefault="00CC497C" w:rsidP="00292812">
      <w:pPr>
        <w:pStyle w:val="BodyText"/>
        <w:spacing w:line="276" w:lineRule="auto"/>
        <w:rPr>
          <w:rFonts w:ascii="Arial" w:hAnsi="Arial" w:cs="Arial"/>
          <w:b w:val="0"/>
          <w:sz w:val="20"/>
        </w:rPr>
      </w:pPr>
      <w:r w:rsidRPr="007416A5">
        <w:rPr>
          <w:rFonts w:ascii="Arial" w:hAnsi="Arial" w:cs="Arial"/>
          <w:b w:val="0"/>
          <w:sz w:val="20"/>
        </w:rPr>
        <w:t xml:space="preserve">These penalties are not deductible for tax purposes. </w:t>
      </w:r>
    </w:p>
    <w:p w14:paraId="54E1DE86" w14:textId="77777777" w:rsidR="00292812" w:rsidRDefault="00292812" w:rsidP="00292812">
      <w:pPr>
        <w:pStyle w:val="BodyText"/>
        <w:spacing w:line="276" w:lineRule="auto"/>
        <w:rPr>
          <w:rFonts w:ascii="Arial" w:hAnsi="Arial" w:cs="Arial"/>
          <w:b w:val="0"/>
          <w:sz w:val="20"/>
        </w:rPr>
      </w:pPr>
    </w:p>
    <w:p w14:paraId="78229531" w14:textId="77777777" w:rsidR="00CC497C" w:rsidRDefault="00292812" w:rsidP="00292812">
      <w:pPr>
        <w:pStyle w:val="BodyText"/>
        <w:spacing w:line="276" w:lineRule="auto"/>
        <w:rPr>
          <w:rFonts w:ascii="Arial" w:hAnsi="Arial" w:cs="Arial"/>
          <w:b w:val="0"/>
          <w:sz w:val="20"/>
        </w:rPr>
      </w:pPr>
      <w:r>
        <w:rPr>
          <w:rFonts w:ascii="Arial" w:hAnsi="Arial" w:cs="Arial"/>
          <w:b w:val="0"/>
          <w:sz w:val="20"/>
        </w:rPr>
        <w:t>A G</w:t>
      </w:r>
      <w:r w:rsidR="00CC497C" w:rsidRPr="007416A5">
        <w:rPr>
          <w:rFonts w:ascii="Arial" w:hAnsi="Arial" w:cs="Arial"/>
          <w:b w:val="0"/>
          <w:sz w:val="20"/>
        </w:rPr>
        <w:t xml:space="preserve">eneral </w:t>
      </w:r>
      <w:r>
        <w:rPr>
          <w:rFonts w:ascii="Arial" w:hAnsi="Arial" w:cs="Arial"/>
          <w:b w:val="0"/>
          <w:sz w:val="20"/>
        </w:rPr>
        <w:t>I</w:t>
      </w:r>
      <w:r w:rsidR="00CC497C" w:rsidRPr="007416A5">
        <w:rPr>
          <w:rFonts w:ascii="Arial" w:hAnsi="Arial" w:cs="Arial"/>
          <w:b w:val="0"/>
          <w:sz w:val="20"/>
        </w:rPr>
        <w:t xml:space="preserve">nterest </w:t>
      </w:r>
      <w:r>
        <w:rPr>
          <w:rFonts w:ascii="Arial" w:hAnsi="Arial" w:cs="Arial"/>
          <w:b w:val="0"/>
          <w:sz w:val="20"/>
        </w:rPr>
        <w:t>C</w:t>
      </w:r>
      <w:r w:rsidR="00CC497C" w:rsidRPr="007416A5">
        <w:rPr>
          <w:rFonts w:ascii="Arial" w:hAnsi="Arial" w:cs="Arial"/>
          <w:b w:val="0"/>
          <w:sz w:val="20"/>
        </w:rPr>
        <w:t xml:space="preserve">harge </w:t>
      </w:r>
      <w:r>
        <w:rPr>
          <w:rFonts w:ascii="Arial" w:hAnsi="Arial" w:cs="Arial"/>
          <w:b w:val="0"/>
          <w:sz w:val="20"/>
        </w:rPr>
        <w:t>(</w:t>
      </w:r>
      <w:r w:rsidRPr="001667BE">
        <w:rPr>
          <w:rFonts w:ascii="Arial" w:hAnsi="Arial" w:cs="Arial"/>
          <w:bCs/>
          <w:sz w:val="20"/>
        </w:rPr>
        <w:t>GIC</w:t>
      </w:r>
      <w:r>
        <w:rPr>
          <w:rFonts w:ascii="Arial" w:hAnsi="Arial" w:cs="Arial"/>
          <w:b w:val="0"/>
          <w:sz w:val="20"/>
        </w:rPr>
        <w:t xml:space="preserve">) </w:t>
      </w:r>
      <w:r w:rsidR="00CC497C" w:rsidRPr="007416A5">
        <w:rPr>
          <w:rFonts w:ascii="Arial" w:hAnsi="Arial" w:cs="Arial"/>
          <w:b w:val="0"/>
          <w:sz w:val="20"/>
        </w:rPr>
        <w:t>may also be imposed for any amount of SGC that remains outstanding after the due date for payment.</w:t>
      </w:r>
    </w:p>
    <w:p w14:paraId="61C262D3" w14:textId="77777777" w:rsidR="00292812" w:rsidRDefault="00292812" w:rsidP="00292812">
      <w:pPr>
        <w:pStyle w:val="BodyText"/>
        <w:spacing w:line="276" w:lineRule="auto"/>
        <w:rPr>
          <w:rFonts w:ascii="Arial" w:hAnsi="Arial" w:cs="Arial"/>
          <w:b w:val="0"/>
          <w:sz w:val="20"/>
        </w:rPr>
      </w:pPr>
    </w:p>
    <w:p w14:paraId="79561363" w14:textId="215FAA0D" w:rsidR="00292812" w:rsidRPr="007416A5" w:rsidRDefault="0032551D" w:rsidP="00292812">
      <w:pPr>
        <w:pStyle w:val="BodyText"/>
        <w:spacing w:line="276" w:lineRule="auto"/>
        <w:rPr>
          <w:rFonts w:ascii="Arial" w:hAnsi="Arial" w:cs="Arial"/>
          <w:b w:val="0"/>
          <w:sz w:val="20"/>
        </w:rPr>
      </w:pPr>
      <w:r>
        <w:rPr>
          <w:rFonts w:ascii="Arial" w:hAnsi="Arial" w:cs="Arial"/>
          <w:b w:val="0"/>
          <w:sz w:val="20"/>
        </w:rPr>
        <w:t xml:space="preserve">Recent legislation </w:t>
      </w:r>
      <w:r w:rsidR="00292812" w:rsidRPr="00292812">
        <w:rPr>
          <w:rFonts w:ascii="Arial" w:hAnsi="Arial" w:cs="Arial"/>
          <w:b w:val="0"/>
          <w:sz w:val="20"/>
        </w:rPr>
        <w:t xml:space="preserve">also </w:t>
      </w:r>
      <w:r w:rsidR="00AB15B2">
        <w:rPr>
          <w:rFonts w:ascii="Arial" w:hAnsi="Arial" w:cs="Arial"/>
          <w:b w:val="0"/>
          <w:sz w:val="20"/>
        </w:rPr>
        <w:t xml:space="preserve">introduced </w:t>
      </w:r>
      <w:r w:rsidR="00292812" w:rsidRPr="00292812">
        <w:rPr>
          <w:rFonts w:ascii="Arial" w:hAnsi="Arial" w:cs="Arial"/>
          <w:b w:val="0"/>
          <w:sz w:val="20"/>
        </w:rPr>
        <w:t xml:space="preserve">various measures to tighten SGC compliance including, amongst others, the creation of an offence where an employer which does not comply with a direction to pay an </w:t>
      </w:r>
      <w:r w:rsidR="00292812" w:rsidRPr="00292812">
        <w:rPr>
          <w:rFonts w:ascii="Arial" w:hAnsi="Arial" w:cs="Arial"/>
          <w:b w:val="0"/>
          <w:sz w:val="20"/>
        </w:rPr>
        <w:lastRenderedPageBreak/>
        <w:t>outstanding SGC liability which will be subject to court-ordered penalties which may include up to 12 months imprisonment and allowing the ATO to disclose more information about SGC non-compliance to affected employees</w:t>
      </w:r>
      <w:r w:rsidR="00292812">
        <w:rPr>
          <w:rFonts w:ascii="Arial" w:hAnsi="Arial" w:cs="Arial"/>
          <w:b w:val="0"/>
          <w:sz w:val="20"/>
        </w:rPr>
        <w:t>.</w:t>
      </w:r>
    </w:p>
    <w:p w14:paraId="7632BBE4" w14:textId="77777777" w:rsidR="00CC497C" w:rsidRPr="007416A5" w:rsidRDefault="00CC497C" w:rsidP="00292812">
      <w:pPr>
        <w:spacing w:line="276" w:lineRule="auto"/>
        <w:jc w:val="left"/>
        <w:rPr>
          <w:rFonts w:ascii="Arial" w:hAnsi="Arial" w:cs="Arial"/>
          <w:sz w:val="20"/>
        </w:rPr>
      </w:pPr>
    </w:p>
    <w:p w14:paraId="135F0EA5" w14:textId="77777777" w:rsidR="000C7DFB" w:rsidRPr="007416A5" w:rsidRDefault="00D40AEA" w:rsidP="00292812">
      <w:pPr>
        <w:pStyle w:val="Heading1"/>
        <w:spacing w:line="276" w:lineRule="auto"/>
        <w:jc w:val="left"/>
        <w:rPr>
          <w:rFonts w:ascii="Arial" w:hAnsi="Arial" w:cs="Arial"/>
          <w:bCs/>
          <w:sz w:val="20"/>
        </w:rPr>
      </w:pPr>
      <w:r w:rsidRPr="007416A5">
        <w:rPr>
          <w:rFonts w:ascii="Arial" w:hAnsi="Arial" w:cs="Arial"/>
          <w:bCs/>
          <w:sz w:val="20"/>
        </w:rPr>
        <w:t>Director penalties</w:t>
      </w:r>
    </w:p>
    <w:p w14:paraId="40C18A50" w14:textId="77777777" w:rsidR="00D40AEA" w:rsidRPr="007416A5" w:rsidRDefault="00D40AEA" w:rsidP="00292812">
      <w:pPr>
        <w:spacing w:line="276" w:lineRule="auto"/>
        <w:jc w:val="left"/>
        <w:rPr>
          <w:rFonts w:ascii="Arial" w:hAnsi="Arial" w:cs="Arial"/>
          <w:sz w:val="20"/>
        </w:rPr>
      </w:pPr>
    </w:p>
    <w:p w14:paraId="5BE3E5A5" w14:textId="6ADD1EA6" w:rsidR="000C7DFB" w:rsidRDefault="0032551D" w:rsidP="00292812">
      <w:pPr>
        <w:spacing w:line="276" w:lineRule="auto"/>
        <w:jc w:val="left"/>
        <w:rPr>
          <w:rFonts w:ascii="Arial" w:hAnsi="Arial"/>
          <w:sz w:val="20"/>
        </w:rPr>
      </w:pPr>
      <w:r>
        <w:rPr>
          <w:rFonts w:ascii="Arial" w:hAnsi="Arial" w:cs="Arial"/>
          <w:sz w:val="20"/>
        </w:rPr>
        <w:t>D</w:t>
      </w:r>
      <w:r w:rsidR="00765ECA" w:rsidRPr="007416A5">
        <w:rPr>
          <w:rFonts w:ascii="Arial" w:hAnsi="Arial" w:cs="Arial"/>
          <w:color w:val="000000"/>
          <w:sz w:val="20"/>
        </w:rPr>
        <w:t xml:space="preserve">irectors </w:t>
      </w:r>
      <w:r w:rsidR="007E5326" w:rsidRPr="007416A5">
        <w:rPr>
          <w:rFonts w:ascii="Arial" w:hAnsi="Arial" w:cs="Arial"/>
          <w:sz w:val="20"/>
        </w:rPr>
        <w:t>are potentially</w:t>
      </w:r>
      <w:r w:rsidR="00D40AEA" w:rsidRPr="007416A5">
        <w:rPr>
          <w:rFonts w:ascii="Arial" w:hAnsi="Arial" w:cs="Arial"/>
          <w:sz w:val="20"/>
        </w:rPr>
        <w:t xml:space="preserve"> personally liable for shortfalls i</w:t>
      </w:r>
      <w:r w:rsidR="009D249A" w:rsidRPr="007416A5">
        <w:rPr>
          <w:rFonts w:ascii="Arial" w:hAnsi="Arial" w:cs="Arial"/>
          <w:sz w:val="20"/>
        </w:rPr>
        <w:t>n superannuation contributions which also include</w:t>
      </w:r>
      <w:r w:rsidR="00D40AEA" w:rsidRPr="007416A5">
        <w:rPr>
          <w:rFonts w:ascii="Arial" w:hAnsi="Arial"/>
          <w:sz w:val="20"/>
        </w:rPr>
        <w:t xml:space="preserve"> interest and penalties that apply to superannuation shortfalls. </w:t>
      </w:r>
      <w:r w:rsidR="009D249A" w:rsidRPr="007416A5">
        <w:rPr>
          <w:rFonts w:ascii="Arial" w:hAnsi="Arial"/>
          <w:sz w:val="20"/>
        </w:rPr>
        <w:t xml:space="preserve">The directors </w:t>
      </w:r>
      <w:r w:rsidR="007E5326" w:rsidRPr="007416A5">
        <w:rPr>
          <w:rFonts w:ascii="Arial" w:hAnsi="Arial"/>
          <w:sz w:val="20"/>
        </w:rPr>
        <w:t>are potentially</w:t>
      </w:r>
      <w:r w:rsidR="009D249A" w:rsidRPr="007416A5">
        <w:rPr>
          <w:rFonts w:ascii="Arial" w:hAnsi="Arial"/>
          <w:sz w:val="20"/>
        </w:rPr>
        <w:t xml:space="preserve"> personally liable even when the company has been placed into administration or has been liquidated.</w:t>
      </w:r>
    </w:p>
    <w:p w14:paraId="5729129E" w14:textId="2ECA810C" w:rsidR="00B94335" w:rsidRDefault="00B94335" w:rsidP="00292812">
      <w:pPr>
        <w:spacing w:line="276" w:lineRule="auto"/>
        <w:jc w:val="left"/>
        <w:rPr>
          <w:rFonts w:ascii="Arial" w:hAnsi="Arial"/>
          <w:sz w:val="20"/>
        </w:rPr>
      </w:pPr>
    </w:p>
    <w:p w14:paraId="060C658C" w14:textId="3FEDA444" w:rsidR="00C046CA" w:rsidRPr="00834502" w:rsidRDefault="0032551D" w:rsidP="00292812">
      <w:pPr>
        <w:spacing w:line="276" w:lineRule="auto"/>
        <w:jc w:val="left"/>
        <w:rPr>
          <w:rFonts w:ascii="Arial" w:hAnsi="Arial"/>
          <w:b/>
          <w:sz w:val="20"/>
        </w:rPr>
      </w:pPr>
      <w:r w:rsidRPr="00311388">
        <w:rPr>
          <w:rFonts w:ascii="Arial" w:hAnsi="Arial"/>
          <w:b/>
          <w:sz w:val="20"/>
        </w:rPr>
        <w:t>Superannuation Guarantee Amnesty</w:t>
      </w:r>
    </w:p>
    <w:p w14:paraId="69232A65" w14:textId="77777777" w:rsidR="0032551D" w:rsidRDefault="0032551D" w:rsidP="00292812">
      <w:pPr>
        <w:spacing w:line="276" w:lineRule="auto"/>
        <w:jc w:val="left"/>
        <w:rPr>
          <w:rFonts w:ascii="Arial" w:hAnsi="Arial"/>
          <w:sz w:val="20"/>
        </w:rPr>
      </w:pPr>
    </w:p>
    <w:p w14:paraId="192D42A5" w14:textId="77777777" w:rsidR="00834502" w:rsidRDefault="0032551D" w:rsidP="00834502">
      <w:pPr>
        <w:spacing w:line="276" w:lineRule="auto"/>
        <w:jc w:val="left"/>
        <w:rPr>
          <w:rFonts w:ascii="Arial" w:hAnsi="Arial"/>
          <w:sz w:val="20"/>
        </w:rPr>
      </w:pPr>
      <w:r w:rsidRPr="00311388">
        <w:rPr>
          <w:rFonts w:ascii="Arial" w:hAnsi="Arial"/>
          <w:sz w:val="20"/>
        </w:rPr>
        <w:t>A Superannuation Guarantee Amnesty</w:t>
      </w:r>
      <w:r>
        <w:rPr>
          <w:rFonts w:ascii="Arial" w:hAnsi="Arial"/>
          <w:sz w:val="20"/>
        </w:rPr>
        <w:t xml:space="preserve"> (</w:t>
      </w:r>
      <w:r w:rsidRPr="001667BE">
        <w:rPr>
          <w:rFonts w:ascii="Arial" w:hAnsi="Arial"/>
          <w:b/>
          <w:bCs/>
          <w:sz w:val="20"/>
        </w:rPr>
        <w:t>Amnesty</w:t>
      </w:r>
      <w:r>
        <w:rPr>
          <w:rFonts w:ascii="Arial" w:hAnsi="Arial"/>
          <w:sz w:val="20"/>
        </w:rPr>
        <w:t>) was introduced on 6 March 2020 and applies until 7 September 2020.</w:t>
      </w:r>
      <w:r w:rsidR="00834502">
        <w:rPr>
          <w:rFonts w:ascii="Arial" w:hAnsi="Arial"/>
          <w:sz w:val="20"/>
        </w:rPr>
        <w:t xml:space="preserve"> The Amnesty relates to the quarters starting from 1 July 1992 to 31 March 2018.</w:t>
      </w:r>
    </w:p>
    <w:p w14:paraId="1BA748A1" w14:textId="67596F41" w:rsidR="0032551D" w:rsidRDefault="0032551D" w:rsidP="00292812">
      <w:pPr>
        <w:spacing w:line="276" w:lineRule="auto"/>
        <w:jc w:val="left"/>
        <w:rPr>
          <w:rFonts w:ascii="Arial" w:hAnsi="Arial"/>
          <w:sz w:val="20"/>
        </w:rPr>
      </w:pPr>
    </w:p>
    <w:p w14:paraId="6D0DF803" w14:textId="738796E0" w:rsidR="001611ED" w:rsidRDefault="001611ED" w:rsidP="00292812">
      <w:pPr>
        <w:spacing w:line="276" w:lineRule="auto"/>
        <w:jc w:val="left"/>
        <w:rPr>
          <w:rFonts w:ascii="Arial" w:hAnsi="Arial"/>
          <w:sz w:val="20"/>
        </w:rPr>
      </w:pPr>
      <w:r>
        <w:rPr>
          <w:rFonts w:ascii="Arial" w:hAnsi="Arial"/>
          <w:sz w:val="20"/>
        </w:rPr>
        <w:t>If an employer qualifies for the Amnesty,</w:t>
      </w:r>
      <w:r w:rsidR="009A189F" w:rsidRPr="009A189F">
        <w:rPr>
          <w:rFonts w:ascii="Arial" w:hAnsi="Arial"/>
          <w:sz w:val="20"/>
        </w:rPr>
        <w:t xml:space="preserve"> </w:t>
      </w:r>
      <w:r w:rsidR="009A189F">
        <w:rPr>
          <w:rFonts w:ascii="Arial" w:hAnsi="Arial"/>
          <w:sz w:val="20"/>
        </w:rPr>
        <w:t>previously unpaid SCG, including nominal interest, that is owed to employees will be payable. However,</w:t>
      </w:r>
      <w:r>
        <w:rPr>
          <w:rFonts w:ascii="Arial" w:hAnsi="Arial"/>
          <w:sz w:val="20"/>
        </w:rPr>
        <w:t xml:space="preserve"> </w:t>
      </w:r>
      <w:r w:rsidR="009A189F">
        <w:rPr>
          <w:rFonts w:ascii="Arial" w:hAnsi="Arial"/>
          <w:sz w:val="20"/>
        </w:rPr>
        <w:t>the employer</w:t>
      </w:r>
      <w:r>
        <w:rPr>
          <w:rFonts w:ascii="Arial" w:hAnsi="Arial"/>
          <w:sz w:val="20"/>
        </w:rPr>
        <w:t xml:space="preserve"> will be able to claim a tax deduction for </w:t>
      </w:r>
      <w:r w:rsidR="00834502">
        <w:rPr>
          <w:rFonts w:ascii="Arial" w:hAnsi="Arial"/>
          <w:sz w:val="20"/>
        </w:rPr>
        <w:t>the SGC amounts paid to the ATO and</w:t>
      </w:r>
      <w:r>
        <w:rPr>
          <w:rFonts w:ascii="Arial" w:hAnsi="Arial"/>
          <w:sz w:val="20"/>
        </w:rPr>
        <w:t xml:space="preserve"> it </w:t>
      </w:r>
      <w:r w:rsidR="009A189F">
        <w:rPr>
          <w:rFonts w:ascii="Arial" w:hAnsi="Arial"/>
          <w:sz w:val="20"/>
        </w:rPr>
        <w:t>will not</w:t>
      </w:r>
      <w:r>
        <w:rPr>
          <w:rFonts w:ascii="Arial" w:hAnsi="Arial"/>
          <w:sz w:val="20"/>
        </w:rPr>
        <w:t xml:space="preserve"> be required to pay the administration component or the Part 7 penalty.</w:t>
      </w:r>
    </w:p>
    <w:p w14:paraId="64DB909F" w14:textId="77777777" w:rsidR="001611ED" w:rsidRDefault="001611ED" w:rsidP="00292812">
      <w:pPr>
        <w:spacing w:line="276" w:lineRule="auto"/>
        <w:jc w:val="left"/>
        <w:rPr>
          <w:rFonts w:ascii="Arial" w:hAnsi="Arial"/>
          <w:sz w:val="20"/>
        </w:rPr>
      </w:pPr>
    </w:p>
    <w:p w14:paraId="3D588B4F" w14:textId="0B723237" w:rsidR="0032551D" w:rsidRPr="00311388" w:rsidRDefault="001611ED" w:rsidP="00292812">
      <w:pPr>
        <w:spacing w:line="276" w:lineRule="auto"/>
        <w:jc w:val="left"/>
        <w:rPr>
          <w:rFonts w:ascii="Arial" w:hAnsi="Arial"/>
          <w:sz w:val="20"/>
        </w:rPr>
      </w:pPr>
      <w:r>
        <w:rPr>
          <w:rFonts w:ascii="Arial" w:hAnsi="Arial"/>
          <w:sz w:val="20"/>
        </w:rPr>
        <w:t xml:space="preserve">To be eligible the employer must not have been informed that the ATO is examining or intends to examine a superannuation guarantee obligation for the quarters </w:t>
      </w:r>
      <w:r w:rsidR="009A189F">
        <w:rPr>
          <w:rFonts w:ascii="Arial" w:hAnsi="Arial"/>
          <w:sz w:val="20"/>
        </w:rPr>
        <w:t>in</w:t>
      </w:r>
      <w:bookmarkStart w:id="11" w:name="_GoBack"/>
      <w:bookmarkEnd w:id="11"/>
      <w:r w:rsidR="009A189F">
        <w:rPr>
          <w:rFonts w:ascii="Arial" w:hAnsi="Arial"/>
          <w:sz w:val="20"/>
        </w:rPr>
        <w:t>cluded in the</w:t>
      </w:r>
      <w:r>
        <w:rPr>
          <w:rFonts w:ascii="Arial" w:hAnsi="Arial"/>
          <w:sz w:val="20"/>
        </w:rPr>
        <w:t xml:space="preserve"> </w:t>
      </w:r>
      <w:r w:rsidR="009A189F">
        <w:rPr>
          <w:rFonts w:ascii="Arial" w:hAnsi="Arial"/>
          <w:sz w:val="20"/>
        </w:rPr>
        <w:t>Amnesty application</w:t>
      </w:r>
      <w:r>
        <w:rPr>
          <w:rFonts w:ascii="Arial" w:hAnsi="Arial"/>
          <w:sz w:val="20"/>
        </w:rPr>
        <w:t>.</w:t>
      </w:r>
    </w:p>
    <w:p w14:paraId="3EE10C92" w14:textId="77777777" w:rsidR="0032551D" w:rsidRPr="00311388" w:rsidRDefault="0032551D" w:rsidP="00292812">
      <w:pPr>
        <w:spacing w:line="276" w:lineRule="auto"/>
        <w:jc w:val="left"/>
        <w:rPr>
          <w:rFonts w:ascii="Arial" w:hAnsi="Arial"/>
          <w:sz w:val="20"/>
        </w:rPr>
      </w:pPr>
    </w:p>
    <w:p w14:paraId="50EDC8D3" w14:textId="3976774A" w:rsidR="00CC497C" w:rsidRPr="007416A5" w:rsidRDefault="00CC497C" w:rsidP="00292812">
      <w:pPr>
        <w:spacing w:line="276" w:lineRule="auto"/>
        <w:jc w:val="left"/>
        <w:rPr>
          <w:rFonts w:ascii="Arial" w:hAnsi="Arial" w:cs="Arial"/>
          <w:sz w:val="20"/>
        </w:rPr>
      </w:pPr>
      <w:r w:rsidRPr="007416A5">
        <w:rPr>
          <w:rFonts w:ascii="Arial" w:hAnsi="Arial" w:cs="Arial"/>
          <w:sz w:val="20"/>
        </w:rPr>
        <w:t xml:space="preserve">If you would like to discuss any matters in relation to how the </w:t>
      </w:r>
      <w:r w:rsidR="00292812">
        <w:rPr>
          <w:rFonts w:ascii="Arial" w:hAnsi="Arial" w:cs="Arial"/>
          <w:sz w:val="20"/>
        </w:rPr>
        <w:t>s</w:t>
      </w:r>
      <w:r w:rsidRPr="007416A5">
        <w:rPr>
          <w:rFonts w:ascii="Arial" w:hAnsi="Arial" w:cs="Arial"/>
          <w:sz w:val="20"/>
        </w:rPr>
        <w:t xml:space="preserve">uperannuation </w:t>
      </w:r>
      <w:r w:rsidR="00292812">
        <w:rPr>
          <w:rFonts w:ascii="Arial" w:hAnsi="Arial" w:cs="Arial"/>
          <w:sz w:val="20"/>
        </w:rPr>
        <w:t>g</w:t>
      </w:r>
      <w:r w:rsidRPr="007416A5">
        <w:rPr>
          <w:rFonts w:ascii="Arial" w:hAnsi="Arial" w:cs="Arial"/>
          <w:sz w:val="20"/>
        </w:rPr>
        <w:t>uarantee provisions apply to your business</w:t>
      </w:r>
      <w:r w:rsidR="00834502">
        <w:rPr>
          <w:rFonts w:ascii="Arial" w:hAnsi="Arial" w:cs="Arial"/>
          <w:sz w:val="20"/>
        </w:rPr>
        <w:t xml:space="preserve"> or to discuss applying for the Amnesty</w:t>
      </w:r>
      <w:r w:rsidRPr="007416A5">
        <w:rPr>
          <w:rFonts w:ascii="Arial" w:hAnsi="Arial" w:cs="Arial"/>
          <w:sz w:val="20"/>
        </w:rPr>
        <w:t>, please do not hesitate to contact me on [</w:t>
      </w:r>
      <w:r w:rsidRPr="007416A5">
        <w:rPr>
          <w:rFonts w:ascii="Arial" w:hAnsi="Arial" w:cs="Arial"/>
          <w:sz w:val="20"/>
          <w:highlight w:val="lightGray"/>
        </w:rPr>
        <w:t>insert telephone number</w:t>
      </w:r>
      <w:r w:rsidRPr="007416A5">
        <w:rPr>
          <w:rFonts w:ascii="Arial" w:hAnsi="Arial" w:cs="Arial"/>
          <w:sz w:val="20"/>
        </w:rPr>
        <w:t>].</w:t>
      </w:r>
    </w:p>
    <w:p w14:paraId="4D3E3758" w14:textId="77777777" w:rsidR="00CC497C" w:rsidRPr="007416A5" w:rsidRDefault="00CC497C" w:rsidP="00292812">
      <w:pPr>
        <w:spacing w:line="276" w:lineRule="auto"/>
        <w:jc w:val="left"/>
        <w:rPr>
          <w:rFonts w:ascii="Arial" w:hAnsi="Arial" w:cs="Arial"/>
          <w:sz w:val="20"/>
        </w:rPr>
      </w:pPr>
    </w:p>
    <w:p w14:paraId="66DE0C00" w14:textId="77777777" w:rsidR="00705D75" w:rsidRDefault="00705D75" w:rsidP="00292812">
      <w:pPr>
        <w:spacing w:line="276" w:lineRule="auto"/>
        <w:jc w:val="left"/>
        <w:rPr>
          <w:rFonts w:ascii="Arial" w:hAnsi="Arial" w:cs="Arial"/>
          <w:sz w:val="20"/>
        </w:rPr>
      </w:pPr>
    </w:p>
    <w:p w14:paraId="6F7F3E74" w14:textId="77777777" w:rsidR="00CC497C" w:rsidRPr="007416A5" w:rsidRDefault="00CC497C" w:rsidP="00292812">
      <w:pPr>
        <w:spacing w:line="276" w:lineRule="auto"/>
        <w:jc w:val="left"/>
        <w:rPr>
          <w:rFonts w:ascii="Arial" w:hAnsi="Arial" w:cs="Arial"/>
          <w:sz w:val="20"/>
        </w:rPr>
      </w:pPr>
      <w:r w:rsidRPr="007416A5">
        <w:rPr>
          <w:rFonts w:ascii="Arial" w:hAnsi="Arial" w:cs="Arial"/>
          <w:sz w:val="20"/>
        </w:rPr>
        <w:t>Yours faithfully</w:t>
      </w:r>
    </w:p>
    <w:p w14:paraId="7F8BDBE7" w14:textId="77777777" w:rsidR="00CC497C" w:rsidRPr="007416A5" w:rsidRDefault="00CC497C" w:rsidP="00292812">
      <w:pPr>
        <w:spacing w:line="276" w:lineRule="auto"/>
        <w:rPr>
          <w:rFonts w:ascii="Arial" w:hAnsi="Arial" w:cs="Arial"/>
          <w:sz w:val="20"/>
        </w:rPr>
      </w:pPr>
    </w:p>
    <w:p w14:paraId="33801F2F" w14:textId="77777777" w:rsidR="00CC497C" w:rsidRPr="007416A5" w:rsidRDefault="00CC497C" w:rsidP="00292812">
      <w:pPr>
        <w:spacing w:line="276" w:lineRule="auto"/>
        <w:rPr>
          <w:rFonts w:ascii="Arial" w:hAnsi="Arial" w:cs="Arial"/>
          <w:sz w:val="20"/>
        </w:rPr>
      </w:pPr>
    </w:p>
    <w:p w14:paraId="55392810" w14:textId="77777777" w:rsidR="00CC497C" w:rsidRPr="007416A5" w:rsidRDefault="00CC497C" w:rsidP="00292812">
      <w:pPr>
        <w:spacing w:line="276" w:lineRule="auto"/>
        <w:rPr>
          <w:rFonts w:ascii="Arial" w:hAnsi="Arial" w:cs="Arial"/>
          <w:sz w:val="20"/>
        </w:rPr>
      </w:pPr>
    </w:p>
    <w:p w14:paraId="0CC2CD6D" w14:textId="77777777" w:rsidR="00CC497C" w:rsidRPr="007416A5" w:rsidRDefault="00CC497C" w:rsidP="00292812">
      <w:pPr>
        <w:spacing w:line="276" w:lineRule="auto"/>
        <w:rPr>
          <w:rFonts w:ascii="Arial" w:hAnsi="Arial" w:cs="Arial"/>
          <w:b/>
          <w:bCs/>
          <w:sz w:val="20"/>
        </w:rPr>
      </w:pPr>
      <w:r w:rsidRPr="007416A5">
        <w:rPr>
          <w:rFonts w:ascii="Arial" w:hAnsi="Arial" w:cs="Arial"/>
          <w:b/>
          <w:bCs/>
          <w:sz w:val="20"/>
        </w:rPr>
        <w:t>[</w:t>
      </w:r>
      <w:r w:rsidRPr="007416A5">
        <w:rPr>
          <w:rFonts w:ascii="Arial" w:hAnsi="Arial" w:cs="Arial"/>
          <w:b/>
          <w:bCs/>
          <w:sz w:val="20"/>
          <w:highlight w:val="lightGray"/>
        </w:rPr>
        <w:t>Insert Partner name</w:t>
      </w:r>
      <w:r w:rsidRPr="007416A5">
        <w:rPr>
          <w:rFonts w:ascii="Arial" w:hAnsi="Arial" w:cs="Arial"/>
          <w:b/>
          <w:bCs/>
          <w:sz w:val="20"/>
        </w:rPr>
        <w:t>]</w:t>
      </w:r>
    </w:p>
    <w:p w14:paraId="284F7962" w14:textId="77777777" w:rsidR="00CC497C" w:rsidRPr="007416A5" w:rsidRDefault="00CC497C" w:rsidP="00292812">
      <w:pPr>
        <w:spacing w:line="276" w:lineRule="auto"/>
        <w:rPr>
          <w:rFonts w:ascii="Arial" w:hAnsi="Arial" w:cs="Arial"/>
          <w:sz w:val="20"/>
        </w:rPr>
      </w:pPr>
    </w:p>
    <w:p w14:paraId="0BF07394" w14:textId="77777777" w:rsidR="00CC497C" w:rsidRPr="007416A5" w:rsidRDefault="00CC497C" w:rsidP="00292812">
      <w:pPr>
        <w:spacing w:line="276" w:lineRule="auto"/>
        <w:rPr>
          <w:rFonts w:ascii="Arial" w:hAnsi="Arial" w:cs="Arial"/>
          <w:sz w:val="20"/>
        </w:rPr>
      </w:pPr>
    </w:p>
    <w:p w14:paraId="228EB97A" w14:textId="77777777" w:rsidR="00CC497C" w:rsidRPr="007416A5" w:rsidRDefault="00CC497C" w:rsidP="00292812">
      <w:pPr>
        <w:spacing w:line="276" w:lineRule="auto"/>
        <w:rPr>
          <w:sz w:val="20"/>
        </w:rPr>
      </w:pPr>
    </w:p>
    <w:sectPr w:rsidR="00CC497C" w:rsidRPr="007416A5" w:rsidSect="00310ECB">
      <w:headerReference w:type="default" r:id="rId8"/>
      <w:pgSz w:w="11909" w:h="16834" w:code="9"/>
      <w:pgMar w:top="1418" w:right="1418" w:bottom="1418" w:left="1418" w:header="709" w:footer="113" w:gutter="0"/>
      <w:paperSrc w:first="15" w:other="15"/>
      <w:cols w:space="720"/>
      <w:titlePg/>
      <w:docGrid w:linePitch="2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8AD9" w14:textId="77777777" w:rsidR="001E4769" w:rsidRDefault="001E4769" w:rsidP="00310ECB">
      <w:r>
        <w:separator/>
      </w:r>
    </w:p>
  </w:endnote>
  <w:endnote w:type="continuationSeparator" w:id="0">
    <w:p w14:paraId="069185F2" w14:textId="77777777" w:rsidR="001E4769" w:rsidRDefault="001E4769" w:rsidP="00310ECB">
      <w:r>
        <w:continuationSeparator/>
      </w:r>
    </w:p>
  </w:endnote>
  <w:endnote w:type="continuationNotice" w:id="1">
    <w:p w14:paraId="10CBAF7B" w14:textId="77777777" w:rsidR="001E4769" w:rsidRDefault="001E4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0F31" w14:textId="77777777" w:rsidR="001E4769" w:rsidRDefault="001E4769" w:rsidP="00310ECB">
      <w:r>
        <w:separator/>
      </w:r>
    </w:p>
  </w:footnote>
  <w:footnote w:type="continuationSeparator" w:id="0">
    <w:p w14:paraId="065AF0FA" w14:textId="77777777" w:rsidR="001E4769" w:rsidRDefault="001E4769" w:rsidP="00310ECB">
      <w:r>
        <w:continuationSeparator/>
      </w:r>
    </w:p>
  </w:footnote>
  <w:footnote w:type="continuationNotice" w:id="1">
    <w:p w14:paraId="1FCA9FC8" w14:textId="77777777" w:rsidR="001E4769" w:rsidRDefault="001E47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3"/>
    </w:tblGrid>
    <w:tr w:rsidR="007E5326" w14:paraId="6B53E12B" w14:textId="77777777">
      <w:tc>
        <w:tcPr>
          <w:tcW w:w="9289" w:type="dxa"/>
        </w:tcPr>
        <w:p w14:paraId="51F2D14A" w14:textId="46B4CDA2" w:rsidR="007E5326" w:rsidRPr="009907A0" w:rsidRDefault="007E5326">
          <w:pPr>
            <w:jc w:val="center"/>
            <w:rPr>
              <w:rFonts w:ascii="Arial" w:hAnsi="Arial" w:cs="Arial"/>
            </w:rPr>
          </w:pPr>
          <w:r w:rsidRPr="009907A0">
            <w:rPr>
              <w:rFonts w:ascii="Arial" w:hAnsi="Arial" w:cs="Arial"/>
            </w:rPr>
            <w:t xml:space="preserve">- </w:t>
          </w:r>
          <w:r w:rsidR="00DD43FE" w:rsidRPr="009907A0">
            <w:rPr>
              <w:rStyle w:val="PageNumber"/>
              <w:rFonts w:ascii="Arial" w:hAnsi="Arial" w:cs="Arial"/>
              <w:sz w:val="20"/>
            </w:rPr>
            <w:fldChar w:fldCharType="begin"/>
          </w:r>
          <w:r w:rsidRPr="009907A0">
            <w:rPr>
              <w:rStyle w:val="PageNumber"/>
              <w:rFonts w:ascii="Arial" w:hAnsi="Arial" w:cs="Arial"/>
              <w:sz w:val="20"/>
            </w:rPr>
            <w:instrText xml:space="preserve"> PAGE </w:instrText>
          </w:r>
          <w:r w:rsidR="00DD43FE" w:rsidRPr="009907A0">
            <w:rPr>
              <w:rStyle w:val="PageNumber"/>
              <w:rFonts w:ascii="Arial" w:hAnsi="Arial" w:cs="Arial"/>
              <w:sz w:val="20"/>
            </w:rPr>
            <w:fldChar w:fldCharType="separate"/>
          </w:r>
          <w:r w:rsidR="00311388">
            <w:rPr>
              <w:rStyle w:val="PageNumber"/>
              <w:rFonts w:ascii="Arial" w:hAnsi="Arial" w:cs="Arial"/>
              <w:noProof/>
              <w:sz w:val="20"/>
            </w:rPr>
            <w:t>2</w:t>
          </w:r>
          <w:r w:rsidR="00DD43FE" w:rsidRPr="009907A0">
            <w:rPr>
              <w:rStyle w:val="PageNumber"/>
              <w:rFonts w:ascii="Arial" w:hAnsi="Arial" w:cs="Arial"/>
              <w:sz w:val="20"/>
            </w:rPr>
            <w:fldChar w:fldCharType="end"/>
          </w:r>
          <w:r w:rsidRPr="009907A0">
            <w:rPr>
              <w:rStyle w:val="PageNumber"/>
              <w:rFonts w:ascii="Arial" w:hAnsi="Arial" w:cs="Arial"/>
              <w:sz w:val="20"/>
            </w:rPr>
            <w:t xml:space="preserve"> -</w:t>
          </w:r>
        </w:p>
      </w:tc>
    </w:tr>
  </w:tbl>
  <w:p w14:paraId="0BF20DEF" w14:textId="77777777" w:rsidR="007E5326" w:rsidRPr="0077011B" w:rsidRDefault="007E5326">
    <w:pPr>
      <w:rPr>
        <w:rFonts w:ascii="Arial" w:hAnsi="Arial" w:cs="Arial"/>
        <w:sz w:val="21"/>
        <w:szCs w:val="21"/>
      </w:rPr>
    </w:pPr>
    <w:bookmarkStart w:id="12" w:name="Date2"/>
    <w:bookmarkEnd w:id="12"/>
    <w:r w:rsidRPr="0077011B">
      <w:rPr>
        <w:rFonts w:ascii="Arial" w:hAnsi="Arial" w:cs="Arial"/>
        <w:sz w:val="21"/>
        <w:szCs w:val="21"/>
      </w:rPr>
      <w:t>[</w:t>
    </w:r>
    <w:r w:rsidRPr="00763CAE">
      <w:rPr>
        <w:rFonts w:ascii="Arial" w:hAnsi="Arial" w:cs="Arial"/>
        <w:sz w:val="21"/>
        <w:szCs w:val="21"/>
        <w:highlight w:val="lightGray"/>
      </w:rPr>
      <w:t>Insert DD Month YYYY</w:t>
    </w:r>
    <w:r w:rsidRPr="0077011B">
      <w:rPr>
        <w:rFonts w:ascii="Arial" w:hAnsi="Arial" w:cs="Arial"/>
        <w:sz w:val="21"/>
        <w:szCs w:val="21"/>
      </w:rPr>
      <w:t>]</w:t>
    </w:r>
  </w:p>
  <w:p w14:paraId="600D3F19" w14:textId="77777777" w:rsidR="007E5326" w:rsidRPr="0077011B" w:rsidRDefault="007E5326">
    <w:pPr>
      <w:rPr>
        <w:rFonts w:ascii="Arial" w:hAnsi="Arial" w:cs="Arial"/>
        <w:sz w:val="21"/>
        <w:szCs w:val="21"/>
      </w:rPr>
    </w:pPr>
    <w:bookmarkStart w:id="13" w:name="Name2"/>
    <w:bookmarkStart w:id="14" w:name="Company2"/>
    <w:bookmarkEnd w:id="13"/>
    <w:bookmarkEnd w:id="14"/>
    <w:r w:rsidRPr="0077011B">
      <w:rPr>
        <w:rFonts w:ascii="Arial" w:hAnsi="Arial" w:cs="Arial"/>
        <w:sz w:val="21"/>
        <w:szCs w:val="21"/>
      </w:rPr>
      <w:t>[</w:t>
    </w:r>
    <w:r w:rsidRPr="00763CAE">
      <w:rPr>
        <w:rFonts w:ascii="Arial" w:hAnsi="Arial" w:cs="Arial"/>
        <w:sz w:val="21"/>
        <w:szCs w:val="21"/>
        <w:highlight w:val="lightGray"/>
      </w:rPr>
      <w:t>Insert Client Name, Insert Company Name</w:t>
    </w:r>
    <w:r w:rsidRPr="0077011B">
      <w:rPr>
        <w:rFonts w:ascii="Arial" w:hAnsi="Arial" w:cs="Arial"/>
        <w:sz w:val="21"/>
        <w:szCs w:val="21"/>
      </w:rPr>
      <w:t>]</w:t>
    </w:r>
  </w:p>
  <w:p w14:paraId="773A818A" w14:textId="77777777" w:rsidR="007E5326" w:rsidRDefault="00C046CA">
    <w:r>
      <w:rPr>
        <w:noProof/>
        <w:lang w:eastAsia="en-AU"/>
      </w:rPr>
      <mc:AlternateContent>
        <mc:Choice Requires="wps">
          <w:drawing>
            <wp:anchor distT="4294967295" distB="4294967295" distL="114300" distR="114300" simplePos="0" relativeHeight="251657728" behindDoc="0" locked="0" layoutInCell="1" allowOverlap="1" wp14:anchorId="0604664B" wp14:editId="71D4F0EF">
              <wp:simplePos x="0" y="0"/>
              <wp:positionH relativeFrom="column">
                <wp:posOffset>0</wp:posOffset>
              </wp:positionH>
              <wp:positionV relativeFrom="paragraph">
                <wp:posOffset>-5716</wp:posOffset>
              </wp:positionV>
              <wp:extent cx="579691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E716" id="Line 1"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474C42"/>
    <w:multiLevelType w:val="multilevel"/>
    <w:tmpl w:val="91887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A09E8"/>
    <w:multiLevelType w:val="hybridMultilevel"/>
    <w:tmpl w:val="5EEE6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06712D"/>
    <w:multiLevelType w:val="hybridMultilevel"/>
    <w:tmpl w:val="3BD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C78"/>
    <w:multiLevelType w:val="hybridMultilevel"/>
    <w:tmpl w:val="64C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93046"/>
    <w:multiLevelType w:val="hybridMultilevel"/>
    <w:tmpl w:val="61F68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A95FD9"/>
    <w:multiLevelType w:val="hybridMultilevel"/>
    <w:tmpl w:val="BC221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070A34"/>
    <w:multiLevelType w:val="hybridMultilevel"/>
    <w:tmpl w:val="1964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552C3F"/>
    <w:multiLevelType w:val="hybridMultilevel"/>
    <w:tmpl w:val="5686EB5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313"/>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52"/>
    <w:rsid w:val="000036B5"/>
    <w:rsid w:val="00015E20"/>
    <w:rsid w:val="00090881"/>
    <w:rsid w:val="00090FEE"/>
    <w:rsid w:val="0009455E"/>
    <w:rsid w:val="00097E76"/>
    <w:rsid w:val="000A2216"/>
    <w:rsid w:val="000A6379"/>
    <w:rsid w:val="000C137A"/>
    <w:rsid w:val="000C7DFB"/>
    <w:rsid w:val="00111704"/>
    <w:rsid w:val="001230BB"/>
    <w:rsid w:val="00137918"/>
    <w:rsid w:val="001611ED"/>
    <w:rsid w:val="001667BE"/>
    <w:rsid w:val="0019687C"/>
    <w:rsid w:val="001A280A"/>
    <w:rsid w:val="001A4CD7"/>
    <w:rsid w:val="001B7617"/>
    <w:rsid w:val="001C2296"/>
    <w:rsid w:val="001E4769"/>
    <w:rsid w:val="001F14E6"/>
    <w:rsid w:val="001F24A7"/>
    <w:rsid w:val="001F30BE"/>
    <w:rsid w:val="00243FA7"/>
    <w:rsid w:val="0025274F"/>
    <w:rsid w:val="00265392"/>
    <w:rsid w:val="00273DBE"/>
    <w:rsid w:val="0028105F"/>
    <w:rsid w:val="00290DC2"/>
    <w:rsid w:val="00292812"/>
    <w:rsid w:val="002A53D9"/>
    <w:rsid w:val="002A667C"/>
    <w:rsid w:val="002C7833"/>
    <w:rsid w:val="002F4B59"/>
    <w:rsid w:val="00310ECB"/>
    <w:rsid w:val="00311388"/>
    <w:rsid w:val="0032551D"/>
    <w:rsid w:val="00355552"/>
    <w:rsid w:val="0039561D"/>
    <w:rsid w:val="003C6B29"/>
    <w:rsid w:val="003D4858"/>
    <w:rsid w:val="003E00C1"/>
    <w:rsid w:val="003F43FA"/>
    <w:rsid w:val="00431296"/>
    <w:rsid w:val="00435C26"/>
    <w:rsid w:val="0046341D"/>
    <w:rsid w:val="00470652"/>
    <w:rsid w:val="004B7104"/>
    <w:rsid w:val="004C2D21"/>
    <w:rsid w:val="004E79CF"/>
    <w:rsid w:val="004F05D5"/>
    <w:rsid w:val="00515310"/>
    <w:rsid w:val="00567DF4"/>
    <w:rsid w:val="005A55F4"/>
    <w:rsid w:val="005B467C"/>
    <w:rsid w:val="005F0334"/>
    <w:rsid w:val="005F1DD8"/>
    <w:rsid w:val="00611ED4"/>
    <w:rsid w:val="00635D93"/>
    <w:rsid w:val="00650F3D"/>
    <w:rsid w:val="00696C4E"/>
    <w:rsid w:val="006A1C9A"/>
    <w:rsid w:val="006A6B35"/>
    <w:rsid w:val="006D0F4E"/>
    <w:rsid w:val="006D7D1D"/>
    <w:rsid w:val="006E77E6"/>
    <w:rsid w:val="006F00CB"/>
    <w:rsid w:val="006F5420"/>
    <w:rsid w:val="006F6826"/>
    <w:rsid w:val="00702791"/>
    <w:rsid w:val="00705D75"/>
    <w:rsid w:val="007235F2"/>
    <w:rsid w:val="007305ED"/>
    <w:rsid w:val="007416A5"/>
    <w:rsid w:val="00763CAE"/>
    <w:rsid w:val="00765ECA"/>
    <w:rsid w:val="0077011B"/>
    <w:rsid w:val="00786182"/>
    <w:rsid w:val="00794783"/>
    <w:rsid w:val="007B01F3"/>
    <w:rsid w:val="007C57C0"/>
    <w:rsid w:val="007E5326"/>
    <w:rsid w:val="007F1619"/>
    <w:rsid w:val="007F4389"/>
    <w:rsid w:val="008212AE"/>
    <w:rsid w:val="00834502"/>
    <w:rsid w:val="0084062D"/>
    <w:rsid w:val="008462F5"/>
    <w:rsid w:val="008779EA"/>
    <w:rsid w:val="008934DD"/>
    <w:rsid w:val="008B3ED4"/>
    <w:rsid w:val="008D6116"/>
    <w:rsid w:val="008F0DED"/>
    <w:rsid w:val="009037D6"/>
    <w:rsid w:val="00917ED6"/>
    <w:rsid w:val="00977B54"/>
    <w:rsid w:val="00982656"/>
    <w:rsid w:val="009907A0"/>
    <w:rsid w:val="009A189F"/>
    <w:rsid w:val="009A2121"/>
    <w:rsid w:val="009D249A"/>
    <w:rsid w:val="009D5EF4"/>
    <w:rsid w:val="009E5D8A"/>
    <w:rsid w:val="00A00043"/>
    <w:rsid w:val="00A1671D"/>
    <w:rsid w:val="00A636E2"/>
    <w:rsid w:val="00AB15B2"/>
    <w:rsid w:val="00AC17AA"/>
    <w:rsid w:val="00AD18C1"/>
    <w:rsid w:val="00AF7F91"/>
    <w:rsid w:val="00B36AB4"/>
    <w:rsid w:val="00B65476"/>
    <w:rsid w:val="00B85E93"/>
    <w:rsid w:val="00B94335"/>
    <w:rsid w:val="00BC3390"/>
    <w:rsid w:val="00C046CA"/>
    <w:rsid w:val="00C17C7A"/>
    <w:rsid w:val="00C23F12"/>
    <w:rsid w:val="00C35F43"/>
    <w:rsid w:val="00C847F8"/>
    <w:rsid w:val="00C85C4E"/>
    <w:rsid w:val="00C979C7"/>
    <w:rsid w:val="00CC497C"/>
    <w:rsid w:val="00D06728"/>
    <w:rsid w:val="00D40AEA"/>
    <w:rsid w:val="00DD43FE"/>
    <w:rsid w:val="00DD5962"/>
    <w:rsid w:val="00E03BC5"/>
    <w:rsid w:val="00E3473C"/>
    <w:rsid w:val="00E5280A"/>
    <w:rsid w:val="00E6513B"/>
    <w:rsid w:val="00E8517E"/>
    <w:rsid w:val="00EC270D"/>
    <w:rsid w:val="00EC54E5"/>
    <w:rsid w:val="00EE6A1C"/>
    <w:rsid w:val="00F37FA9"/>
    <w:rsid w:val="00F43C0A"/>
    <w:rsid w:val="00F4620D"/>
    <w:rsid w:val="00F8138D"/>
    <w:rsid w:val="00FD2237"/>
    <w:rsid w:val="00FE57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22BE5"/>
  <w15:docId w15:val="{5CF449BB-85D7-4376-AFC1-3C2F1A6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552"/>
    <w:pPr>
      <w:jc w:val="both"/>
    </w:pPr>
    <w:rPr>
      <w:rFonts w:ascii="Times New Roman" w:hAnsi="Times New Roman" w:cs="Times New Roman"/>
      <w:sz w:val="23"/>
      <w:lang w:eastAsia="en-US"/>
    </w:rPr>
  </w:style>
  <w:style w:type="paragraph" w:styleId="Heading1">
    <w:name w:val="heading 1"/>
    <w:basedOn w:val="Normal"/>
    <w:next w:val="Normal"/>
    <w:link w:val="Heading1Char"/>
    <w:qFormat/>
    <w:rsid w:val="003555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55552"/>
    <w:rPr>
      <w:rFonts w:ascii="Times New Roman" w:hAnsi="Times New Roman"/>
      <w:b/>
      <w:sz w:val="23"/>
    </w:rPr>
  </w:style>
  <w:style w:type="character" w:styleId="PageNumber">
    <w:name w:val="page number"/>
    <w:basedOn w:val="DefaultParagraphFont"/>
    <w:rsid w:val="00355552"/>
  </w:style>
  <w:style w:type="paragraph" w:styleId="BodyText">
    <w:name w:val="Body Text"/>
    <w:basedOn w:val="Normal"/>
    <w:link w:val="BodyTextChar"/>
    <w:rsid w:val="00355552"/>
    <w:pPr>
      <w:jc w:val="left"/>
    </w:pPr>
    <w:rPr>
      <w:b/>
      <w:sz w:val="24"/>
    </w:rPr>
  </w:style>
  <w:style w:type="character" w:customStyle="1" w:styleId="BodyTextChar">
    <w:name w:val="Body Text Char"/>
    <w:link w:val="BodyText"/>
    <w:locked/>
    <w:rsid w:val="00355552"/>
    <w:rPr>
      <w:rFonts w:ascii="Times New Roman" w:hAnsi="Times New Roman"/>
      <w:b/>
      <w:sz w:val="24"/>
    </w:rPr>
  </w:style>
  <w:style w:type="paragraph" w:customStyle="1" w:styleId="MSHFBody">
    <w:name w:val="MSHF Body"/>
    <w:basedOn w:val="Normal"/>
    <w:rsid w:val="00355552"/>
  </w:style>
  <w:style w:type="paragraph" w:styleId="BodyText3">
    <w:name w:val="Body Text 3"/>
    <w:basedOn w:val="Normal"/>
    <w:link w:val="BodyText3Char"/>
    <w:rsid w:val="00355552"/>
    <w:rPr>
      <w:sz w:val="22"/>
    </w:rPr>
  </w:style>
  <w:style w:type="character" w:customStyle="1" w:styleId="BodyText3Char">
    <w:name w:val="Body Text 3 Char"/>
    <w:link w:val="BodyText3"/>
    <w:locked/>
    <w:rsid w:val="00355552"/>
    <w:rPr>
      <w:rFonts w:ascii="Times New Roman" w:hAnsi="Times New Roman"/>
      <w:sz w:val="22"/>
    </w:rPr>
  </w:style>
  <w:style w:type="character" w:styleId="CommentReference">
    <w:name w:val="annotation reference"/>
    <w:rsid w:val="00F37FA9"/>
    <w:rPr>
      <w:sz w:val="16"/>
    </w:rPr>
  </w:style>
  <w:style w:type="paragraph" w:styleId="CommentText">
    <w:name w:val="annotation text"/>
    <w:basedOn w:val="Normal"/>
    <w:link w:val="CommentTextChar"/>
    <w:rsid w:val="00F37FA9"/>
    <w:rPr>
      <w:sz w:val="20"/>
    </w:rPr>
  </w:style>
  <w:style w:type="character" w:customStyle="1" w:styleId="CommentTextChar">
    <w:name w:val="Comment Text Char"/>
    <w:link w:val="CommentText"/>
    <w:locked/>
    <w:rsid w:val="00F37FA9"/>
    <w:rPr>
      <w:rFonts w:ascii="Times New Roman" w:hAnsi="Times New Roman"/>
    </w:rPr>
  </w:style>
  <w:style w:type="paragraph" w:styleId="CommentSubject">
    <w:name w:val="annotation subject"/>
    <w:basedOn w:val="CommentText"/>
    <w:next w:val="CommentText"/>
    <w:link w:val="CommentSubjectChar"/>
    <w:rsid w:val="00F37FA9"/>
    <w:rPr>
      <w:b/>
    </w:rPr>
  </w:style>
  <w:style w:type="character" w:customStyle="1" w:styleId="CommentSubjectChar">
    <w:name w:val="Comment Subject Char"/>
    <w:link w:val="CommentSubject"/>
    <w:locked/>
    <w:rsid w:val="00F37FA9"/>
    <w:rPr>
      <w:rFonts w:ascii="Times New Roman" w:hAnsi="Times New Roman"/>
      <w:b/>
    </w:rPr>
  </w:style>
  <w:style w:type="paragraph" w:styleId="BalloonText">
    <w:name w:val="Balloon Text"/>
    <w:basedOn w:val="Normal"/>
    <w:link w:val="BalloonTextChar"/>
    <w:rsid w:val="00F37FA9"/>
    <w:rPr>
      <w:rFonts w:ascii="Tahoma" w:hAnsi="Tahoma"/>
      <w:sz w:val="16"/>
    </w:rPr>
  </w:style>
  <w:style w:type="character" w:customStyle="1" w:styleId="BalloonTextChar">
    <w:name w:val="Balloon Text Char"/>
    <w:link w:val="BalloonText"/>
    <w:locked/>
    <w:rsid w:val="00F37FA9"/>
    <w:rPr>
      <w:rFonts w:ascii="Tahoma" w:hAnsi="Tahoma"/>
      <w:sz w:val="16"/>
    </w:rPr>
  </w:style>
  <w:style w:type="paragraph" w:styleId="Header">
    <w:name w:val="header"/>
    <w:basedOn w:val="Normal"/>
    <w:rsid w:val="00763CAE"/>
    <w:pPr>
      <w:tabs>
        <w:tab w:val="center" w:pos="4153"/>
        <w:tab w:val="right" w:pos="8306"/>
      </w:tabs>
    </w:pPr>
  </w:style>
  <w:style w:type="paragraph" w:styleId="Footer">
    <w:name w:val="footer"/>
    <w:basedOn w:val="Normal"/>
    <w:rsid w:val="00763CAE"/>
    <w:pPr>
      <w:tabs>
        <w:tab w:val="center" w:pos="4153"/>
        <w:tab w:val="right" w:pos="8306"/>
      </w:tabs>
    </w:pPr>
  </w:style>
  <w:style w:type="paragraph" w:customStyle="1" w:styleId="Default">
    <w:name w:val="Default"/>
    <w:rsid w:val="00D40AEA"/>
    <w:pPr>
      <w:autoSpaceDE w:val="0"/>
      <w:autoSpaceDN w:val="0"/>
      <w:adjustRightInd w:val="0"/>
    </w:pPr>
    <w:rPr>
      <w:rFonts w:ascii="Frutiger LT Std 45 Light" w:hAnsi="Frutiger LT Std 45 Light" w:cs="Frutiger LT Std 45 Light"/>
      <w:color w:val="000000"/>
      <w:sz w:val="24"/>
      <w:szCs w:val="24"/>
    </w:rPr>
  </w:style>
  <w:style w:type="paragraph" w:customStyle="1" w:styleId="Pa5">
    <w:name w:val="Pa5"/>
    <w:basedOn w:val="Default"/>
    <w:next w:val="Default"/>
    <w:uiPriority w:val="99"/>
    <w:rsid w:val="00D40AEA"/>
    <w:pPr>
      <w:spacing w:line="171" w:lineRule="atLeast"/>
    </w:pPr>
    <w:rPr>
      <w:rFonts w:cs="Arial"/>
      <w:color w:val="auto"/>
    </w:rPr>
  </w:style>
  <w:style w:type="paragraph" w:styleId="FootnoteText">
    <w:name w:val="footnote text"/>
    <w:basedOn w:val="Normal"/>
    <w:link w:val="FootnoteTextChar"/>
    <w:rsid w:val="0019687C"/>
    <w:rPr>
      <w:sz w:val="20"/>
    </w:rPr>
  </w:style>
  <w:style w:type="character" w:customStyle="1" w:styleId="FootnoteTextChar">
    <w:name w:val="Footnote Text Char"/>
    <w:link w:val="FootnoteText"/>
    <w:rsid w:val="0019687C"/>
    <w:rPr>
      <w:rFonts w:ascii="Times New Roman" w:hAnsi="Times New Roman" w:cs="Times New Roman"/>
      <w:lang w:val="en-AU"/>
    </w:rPr>
  </w:style>
  <w:style w:type="character" w:styleId="FootnoteReference">
    <w:name w:val="footnote reference"/>
    <w:rsid w:val="0019687C"/>
    <w:rPr>
      <w:vertAlign w:val="superscript"/>
    </w:rPr>
  </w:style>
  <w:style w:type="paragraph" w:styleId="Revision">
    <w:name w:val="Revision"/>
    <w:hidden/>
    <w:uiPriority w:val="99"/>
    <w:semiHidden/>
    <w:rsid w:val="006E77E6"/>
    <w:rPr>
      <w:rFonts w:ascii="Times New Roman" w:hAnsi="Times New Roman" w:cs="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4531-6A34-43EA-B550-C3DE29A4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1145</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Superannuation guarantee obligations standard client letter</vt:lpstr>
    </vt:vector>
  </TitlesOfParts>
  <Company>CPA Australia</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guarantee obligations standard client letter</dc:title>
  <dc:creator>Michelle Webb</dc:creator>
  <cp:keywords>Superannuation Guarantee Scheme, ATO, Australian Taxation Office, superannuation contributions</cp:keywords>
  <cp:lastModifiedBy>Michelle Webb</cp:lastModifiedBy>
  <cp:revision>4</cp:revision>
  <cp:lastPrinted>2019-06-10T04:01:00Z</cp:lastPrinted>
  <dcterms:created xsi:type="dcterms:W3CDTF">2020-06-28T12:30:00Z</dcterms:created>
  <dcterms:modified xsi:type="dcterms:W3CDTF">2020-07-01T03:15:00Z</dcterms:modified>
</cp:coreProperties>
</file>