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2E6927" w14:textId="6CB27BB8" w:rsidR="005440D1" w:rsidRPr="00964C87" w:rsidRDefault="005440D1" w:rsidP="005440D1">
      <w:pPr>
        <w:pStyle w:val="Heading2"/>
        <w:ind w:right="133"/>
        <w:rPr>
          <w:sz w:val="28"/>
          <w:szCs w:val="28"/>
        </w:rPr>
      </w:pPr>
      <w:r w:rsidRPr="00964C87">
        <w:rPr>
          <w:sz w:val="28"/>
          <w:szCs w:val="28"/>
        </w:rPr>
        <w:t xml:space="preserve">Boosting </w:t>
      </w:r>
      <w:r w:rsidR="007B5273">
        <w:rPr>
          <w:sz w:val="28"/>
          <w:szCs w:val="28"/>
        </w:rPr>
        <w:t>c</w:t>
      </w:r>
      <w:r w:rsidRPr="00964C87">
        <w:rPr>
          <w:sz w:val="28"/>
          <w:szCs w:val="28"/>
        </w:rPr>
        <w:t xml:space="preserve">ash </w:t>
      </w:r>
      <w:r w:rsidR="007B5273">
        <w:rPr>
          <w:sz w:val="28"/>
          <w:szCs w:val="28"/>
        </w:rPr>
        <w:t>f</w:t>
      </w:r>
      <w:r w:rsidRPr="00964C87">
        <w:rPr>
          <w:sz w:val="28"/>
          <w:szCs w:val="28"/>
        </w:rPr>
        <w:t xml:space="preserve">low for </w:t>
      </w:r>
      <w:r w:rsidR="007B5273">
        <w:rPr>
          <w:sz w:val="28"/>
          <w:szCs w:val="28"/>
        </w:rPr>
        <w:t>b</w:t>
      </w:r>
      <w:r w:rsidRPr="00964C87">
        <w:rPr>
          <w:sz w:val="28"/>
          <w:szCs w:val="28"/>
        </w:rPr>
        <w:t>usiness</w:t>
      </w:r>
    </w:p>
    <w:p w14:paraId="4C84F0C8" w14:textId="082AC9D6" w:rsidR="005440D1" w:rsidRPr="00474504" w:rsidRDefault="005440D1" w:rsidP="0041602F">
      <w:r w:rsidRPr="00474504">
        <w:t xml:space="preserve">The purpose of this </w:t>
      </w:r>
      <w:r w:rsidR="007B5273">
        <w:t>f</w:t>
      </w:r>
      <w:r w:rsidRPr="00474504">
        <w:t xml:space="preserve">act </w:t>
      </w:r>
      <w:r w:rsidR="007B5273">
        <w:t>s</w:t>
      </w:r>
      <w:r w:rsidRPr="00474504">
        <w:t xml:space="preserve">heet is to enable you to make a </w:t>
      </w:r>
      <w:r w:rsidRPr="0041602F">
        <w:rPr>
          <w:bCs/>
        </w:rPr>
        <w:t>quick assessment</w:t>
      </w:r>
      <w:r w:rsidRPr="00474504">
        <w:t xml:space="preserve"> of your eligibility for the </w:t>
      </w:r>
      <w:r w:rsidR="007B5273">
        <w:t>g</w:t>
      </w:r>
      <w:r w:rsidRPr="00474504">
        <w:t xml:space="preserve">overnment's </w:t>
      </w:r>
      <w:r w:rsidR="007B5273">
        <w:t>b</w:t>
      </w:r>
      <w:r w:rsidRPr="00474504">
        <w:t xml:space="preserve">oosting </w:t>
      </w:r>
      <w:r w:rsidR="007B5273">
        <w:t>c</w:t>
      </w:r>
      <w:r w:rsidRPr="00474504">
        <w:t xml:space="preserve">ash </w:t>
      </w:r>
      <w:r w:rsidR="007B5273">
        <w:t>f</w:t>
      </w:r>
      <w:r w:rsidRPr="00474504">
        <w:t xml:space="preserve">low for business. It is not a comprehensive guide as the rules are quite complex. If, after you have examined the information in this </w:t>
      </w:r>
      <w:r w:rsidR="007B5273">
        <w:t>f</w:t>
      </w:r>
      <w:r w:rsidRPr="00474504">
        <w:t xml:space="preserve">act </w:t>
      </w:r>
      <w:r w:rsidR="007B5273">
        <w:t>s</w:t>
      </w:r>
      <w:r w:rsidRPr="00474504">
        <w:t>heet</w:t>
      </w:r>
      <w:r w:rsidR="007B5273">
        <w:t>, you</w:t>
      </w:r>
      <w:r w:rsidRPr="00474504">
        <w:t xml:space="preserve"> believe that you may be eligible, please </w:t>
      </w:r>
      <w:r w:rsidRPr="0041602F">
        <w:rPr>
          <w:bCs/>
        </w:rPr>
        <w:t>contact us</w:t>
      </w:r>
      <w:r w:rsidRPr="007B5273">
        <w:rPr>
          <w:bCs/>
        </w:rPr>
        <w:t xml:space="preserve"> </w:t>
      </w:r>
      <w:r w:rsidRPr="0041602F">
        <w:rPr>
          <w:bCs/>
        </w:rPr>
        <w:t>immediately</w:t>
      </w:r>
      <w:r w:rsidRPr="00474504">
        <w:t xml:space="preserve"> so we may assist you further.</w:t>
      </w:r>
    </w:p>
    <w:p w14:paraId="23160CEA" w14:textId="77777777" w:rsidR="005440D1" w:rsidRPr="00964C87" w:rsidRDefault="005440D1" w:rsidP="005440D1">
      <w:pPr>
        <w:pStyle w:val="Heading2"/>
        <w:ind w:right="133"/>
        <w:rPr>
          <w:sz w:val="28"/>
          <w:szCs w:val="28"/>
        </w:rPr>
      </w:pPr>
      <w:r w:rsidRPr="00964C87">
        <w:rPr>
          <w:sz w:val="28"/>
          <w:szCs w:val="28"/>
        </w:rPr>
        <w:t xml:space="preserve">Eligibility requirements for cash flow boost </w:t>
      </w:r>
    </w:p>
    <w:p w14:paraId="1FFA21D6" w14:textId="77777777" w:rsidR="005440D1" w:rsidRPr="00474504" w:rsidRDefault="005440D1" w:rsidP="0041602F">
      <w:r w:rsidRPr="00474504">
        <w:t xml:space="preserve">The cash flow boost will be available only to ‘active eligible employers established </w:t>
      </w:r>
      <w:r w:rsidRPr="0041602F">
        <w:rPr>
          <w:bCs/>
        </w:rPr>
        <w:t>prior to 12 March 2020’</w:t>
      </w:r>
      <w:r w:rsidRPr="00474504">
        <w:t xml:space="preserve">. To be eligible for the cash flow boost, an entity must meet </w:t>
      </w:r>
      <w:r w:rsidRPr="0041602F">
        <w:rPr>
          <w:b/>
          <w:bCs/>
        </w:rPr>
        <w:t>all of the</w:t>
      </w:r>
      <w:r w:rsidRPr="00474504">
        <w:t xml:space="preserve"> </w:t>
      </w:r>
      <w:r w:rsidRPr="00474504">
        <w:rPr>
          <w:b/>
        </w:rPr>
        <w:t>seven conditions</w:t>
      </w:r>
      <w:r w:rsidRPr="00474504">
        <w:t xml:space="preserve"> set out below.</w:t>
      </w:r>
    </w:p>
    <w:p w14:paraId="04AB0C45" w14:textId="703B1ED5" w:rsidR="005440D1" w:rsidRPr="00964C87" w:rsidRDefault="005440D1" w:rsidP="005440D1">
      <w:pPr>
        <w:pStyle w:val="Heading2"/>
        <w:ind w:right="133"/>
        <w:rPr>
          <w:sz w:val="28"/>
          <w:szCs w:val="28"/>
        </w:rPr>
      </w:pPr>
      <w:r w:rsidRPr="006152F0">
        <w:rPr>
          <w:sz w:val="28"/>
          <w:szCs w:val="28"/>
        </w:rPr>
        <w:t>Condition 1</w:t>
      </w:r>
      <w:r w:rsidR="007B5273" w:rsidRPr="006152F0">
        <w:rPr>
          <w:sz w:val="28"/>
          <w:szCs w:val="28"/>
        </w:rPr>
        <w:t>:</w:t>
      </w:r>
      <w:r w:rsidR="007B5273">
        <w:rPr>
          <w:sz w:val="28"/>
          <w:szCs w:val="28"/>
        </w:rPr>
        <w:t xml:space="preserve"> </w:t>
      </w:r>
      <w:r w:rsidRPr="00964C87">
        <w:rPr>
          <w:sz w:val="28"/>
          <w:szCs w:val="28"/>
        </w:rPr>
        <w:t xml:space="preserve">You are a </w:t>
      </w:r>
      <w:r w:rsidR="007B5273">
        <w:rPr>
          <w:sz w:val="28"/>
          <w:szCs w:val="28"/>
        </w:rPr>
        <w:t>s</w:t>
      </w:r>
      <w:r w:rsidRPr="00964C87">
        <w:rPr>
          <w:sz w:val="28"/>
          <w:szCs w:val="28"/>
        </w:rPr>
        <w:t xml:space="preserve">mall or </w:t>
      </w:r>
      <w:r w:rsidR="007B5273">
        <w:rPr>
          <w:sz w:val="28"/>
          <w:szCs w:val="28"/>
        </w:rPr>
        <w:t>m</w:t>
      </w:r>
      <w:r w:rsidRPr="00964C87">
        <w:rPr>
          <w:sz w:val="28"/>
          <w:szCs w:val="28"/>
        </w:rPr>
        <w:t xml:space="preserve">edium </w:t>
      </w:r>
      <w:r w:rsidR="007B5273">
        <w:rPr>
          <w:sz w:val="28"/>
          <w:szCs w:val="28"/>
        </w:rPr>
        <w:t>b</w:t>
      </w:r>
      <w:r w:rsidRPr="00964C87">
        <w:rPr>
          <w:sz w:val="28"/>
          <w:szCs w:val="28"/>
        </w:rPr>
        <w:t xml:space="preserve">usiness </w:t>
      </w:r>
      <w:r w:rsidR="007B5273">
        <w:rPr>
          <w:sz w:val="28"/>
          <w:szCs w:val="28"/>
        </w:rPr>
        <w:t>e</w:t>
      </w:r>
      <w:r w:rsidRPr="00964C87">
        <w:rPr>
          <w:sz w:val="28"/>
          <w:szCs w:val="28"/>
        </w:rPr>
        <w:t xml:space="preserve">ntity </w:t>
      </w:r>
    </w:p>
    <w:p w14:paraId="310261AC" w14:textId="77777777" w:rsidR="005440D1" w:rsidRPr="00474504" w:rsidRDefault="005440D1" w:rsidP="0041602F">
      <w:r w:rsidRPr="00474504">
        <w:t>Broadly, the cash flow boost is available only to entities that are either a small business entity (SBE) or a medium business entity (MBE), which means they must have an aggregated annual turnover of less than $50 million.</w:t>
      </w:r>
    </w:p>
    <w:p w14:paraId="4369DC93" w14:textId="77777777" w:rsidR="005440D1" w:rsidRPr="00474504" w:rsidRDefault="005440D1" w:rsidP="0041602F">
      <w:r w:rsidRPr="00474504">
        <w:t xml:space="preserve">There are special rules to calculate aggregated turnover but basically it is </w:t>
      </w:r>
      <w:r w:rsidRPr="0041602F">
        <w:rPr>
          <w:bCs/>
        </w:rPr>
        <w:t>your</w:t>
      </w:r>
      <w:r w:rsidRPr="0032644D">
        <w:rPr>
          <w:bCs/>
        </w:rPr>
        <w:t xml:space="preserve"> </w:t>
      </w:r>
      <w:r w:rsidRPr="00474504">
        <w:t>ordinary income and the ordinary income of other entities that are connected to you or are affiliated to you.</w:t>
      </w:r>
    </w:p>
    <w:p w14:paraId="4F3FCC1E" w14:textId="77777777" w:rsidR="005440D1" w:rsidRPr="00474504" w:rsidRDefault="005440D1" w:rsidP="0041602F">
      <w:r w:rsidRPr="00474504">
        <w:t>You must carry on a business and be below the $50 million turnover threshold.</w:t>
      </w:r>
    </w:p>
    <w:p w14:paraId="5D867722" w14:textId="7871EB72" w:rsidR="005440D1" w:rsidRPr="00474504" w:rsidRDefault="005440D1" w:rsidP="0041602F">
      <w:r w:rsidRPr="00474504">
        <w:t>Not</w:t>
      </w:r>
      <w:r w:rsidR="007B5273">
        <w:t>-</w:t>
      </w:r>
      <w:r w:rsidRPr="00474504">
        <w:t>for</w:t>
      </w:r>
      <w:r w:rsidR="007B5273">
        <w:t>-</w:t>
      </w:r>
      <w:r w:rsidRPr="00474504">
        <w:t xml:space="preserve">profits and </w:t>
      </w:r>
      <w:r w:rsidR="007B5273">
        <w:t>c</w:t>
      </w:r>
      <w:r w:rsidRPr="00474504">
        <w:t>harities may also qualify and there are special rules relating to their turnover for eligibility.</w:t>
      </w:r>
    </w:p>
    <w:p w14:paraId="0A954432" w14:textId="77777777" w:rsidR="005440D1" w:rsidRPr="003C6238" w:rsidRDefault="005440D1" w:rsidP="005440D1">
      <w:pPr>
        <w:pStyle w:val="Heading2"/>
        <w:ind w:right="133"/>
        <w:rPr>
          <w:rFonts w:eastAsia="Times New Roman" w:cs="Arial"/>
          <w:sz w:val="28"/>
          <w:szCs w:val="28"/>
          <w:lang w:val="en-AU"/>
        </w:rPr>
      </w:pPr>
      <w:r w:rsidRPr="003C6238">
        <w:rPr>
          <w:sz w:val="28"/>
          <w:szCs w:val="28"/>
        </w:rPr>
        <w:t>When am I required to be a SBE or MBE?</w:t>
      </w:r>
    </w:p>
    <w:p w14:paraId="1B65FAC6" w14:textId="3A76B57E" w:rsidR="005440D1" w:rsidRPr="00474504" w:rsidRDefault="005440D1" w:rsidP="0041602F">
      <w:r w:rsidRPr="00474504">
        <w:t xml:space="preserve">The cash flow boost is only available for a period to entities that carry on a business if either: </w:t>
      </w:r>
    </w:p>
    <w:p w14:paraId="325231C8" w14:textId="6E9C1212" w:rsidR="005440D1" w:rsidRPr="00474504" w:rsidRDefault="005440D1" w:rsidP="005440D1">
      <w:pPr>
        <w:pStyle w:val="LetterBodyText"/>
        <w:numPr>
          <w:ilvl w:val="0"/>
          <w:numId w:val="19"/>
        </w:numPr>
        <w:spacing w:before="0"/>
        <w:ind w:right="133"/>
        <w:rPr>
          <w:rFonts w:ascii="Arial" w:hAnsi="Arial" w:cs="Arial"/>
          <w:szCs w:val="20"/>
        </w:rPr>
      </w:pPr>
      <w:r w:rsidRPr="00474504">
        <w:rPr>
          <w:rFonts w:ascii="Arial" w:hAnsi="Arial" w:cs="Arial"/>
          <w:szCs w:val="20"/>
        </w:rPr>
        <w:t xml:space="preserve">the entity was a small or medium business entity for the </w:t>
      </w:r>
      <w:r w:rsidRPr="0041602F">
        <w:rPr>
          <w:rFonts w:ascii="Arial" w:hAnsi="Arial" w:cs="Arial"/>
          <w:bCs/>
          <w:szCs w:val="20"/>
        </w:rPr>
        <w:t>income year</w:t>
      </w:r>
      <w:r w:rsidRPr="00474504">
        <w:rPr>
          <w:rFonts w:ascii="Arial" w:hAnsi="Arial" w:cs="Arial"/>
          <w:szCs w:val="20"/>
        </w:rPr>
        <w:t xml:space="preserve"> for which they have </w:t>
      </w:r>
      <w:r w:rsidRPr="0041602F">
        <w:rPr>
          <w:rFonts w:ascii="Arial" w:hAnsi="Arial" w:cs="Arial"/>
          <w:bCs/>
          <w:szCs w:val="20"/>
        </w:rPr>
        <w:t>most recently</w:t>
      </w:r>
      <w:r w:rsidRPr="0032644D">
        <w:rPr>
          <w:rFonts w:ascii="Arial" w:hAnsi="Arial" w:cs="Arial"/>
          <w:bCs/>
          <w:szCs w:val="20"/>
        </w:rPr>
        <w:t xml:space="preserve"> been </w:t>
      </w:r>
      <w:r w:rsidRPr="0041602F">
        <w:rPr>
          <w:rFonts w:ascii="Arial" w:hAnsi="Arial" w:cs="Arial"/>
          <w:bCs/>
          <w:szCs w:val="20"/>
        </w:rPr>
        <w:t>assessed</w:t>
      </w:r>
      <w:r w:rsidR="007B5273">
        <w:rPr>
          <w:rFonts w:ascii="Arial" w:hAnsi="Arial" w:cs="Arial"/>
          <w:szCs w:val="20"/>
        </w:rPr>
        <w:t>, or</w:t>
      </w:r>
    </w:p>
    <w:p w14:paraId="164C93CF" w14:textId="746E3C5D" w:rsidR="005440D1" w:rsidRPr="00474504" w:rsidRDefault="005440D1" w:rsidP="005440D1">
      <w:pPr>
        <w:pStyle w:val="LetterBodyText"/>
        <w:numPr>
          <w:ilvl w:val="0"/>
          <w:numId w:val="19"/>
        </w:numPr>
        <w:spacing w:before="0"/>
        <w:ind w:right="133"/>
        <w:rPr>
          <w:rFonts w:ascii="Arial" w:hAnsi="Arial" w:cs="Arial"/>
          <w:szCs w:val="20"/>
        </w:rPr>
      </w:pPr>
      <w:r w:rsidRPr="00474504">
        <w:rPr>
          <w:rFonts w:ascii="Arial" w:hAnsi="Arial" w:cs="Arial"/>
          <w:szCs w:val="20"/>
        </w:rPr>
        <w:t xml:space="preserve">the </w:t>
      </w:r>
      <w:r w:rsidRPr="0041602F">
        <w:rPr>
          <w:rFonts w:ascii="Arial" w:hAnsi="Arial" w:cs="Arial"/>
          <w:bCs/>
          <w:szCs w:val="20"/>
        </w:rPr>
        <w:t>Commissioner</w:t>
      </w:r>
      <w:r w:rsidRPr="0032644D">
        <w:rPr>
          <w:rFonts w:ascii="Arial" w:hAnsi="Arial" w:cs="Arial"/>
          <w:bCs/>
          <w:szCs w:val="20"/>
        </w:rPr>
        <w:t xml:space="preserve"> </w:t>
      </w:r>
      <w:r w:rsidRPr="00474504">
        <w:rPr>
          <w:rFonts w:ascii="Arial" w:hAnsi="Arial" w:cs="Arial"/>
          <w:szCs w:val="20"/>
        </w:rPr>
        <w:t xml:space="preserve">is </w:t>
      </w:r>
      <w:r w:rsidRPr="0041602F">
        <w:rPr>
          <w:rFonts w:ascii="Arial" w:hAnsi="Arial" w:cs="Arial"/>
          <w:bCs/>
          <w:szCs w:val="20"/>
        </w:rPr>
        <w:t>reasonably satisfied</w:t>
      </w:r>
      <w:r w:rsidRPr="00474504">
        <w:rPr>
          <w:rFonts w:ascii="Arial" w:hAnsi="Arial" w:cs="Arial"/>
          <w:szCs w:val="20"/>
        </w:rPr>
        <w:t xml:space="preserve"> it is likely that the entity is a small or medium business entity for the income year that includes the period</w:t>
      </w:r>
      <w:r w:rsidR="007B5273">
        <w:rPr>
          <w:rFonts w:ascii="Arial" w:hAnsi="Arial" w:cs="Arial"/>
          <w:szCs w:val="20"/>
        </w:rPr>
        <w:t>.</w:t>
      </w:r>
    </w:p>
    <w:p w14:paraId="12CF30FD" w14:textId="77777777" w:rsidR="005440D1" w:rsidRPr="00964C87" w:rsidRDefault="005440D1" w:rsidP="005440D1">
      <w:pPr>
        <w:pStyle w:val="Heading2"/>
        <w:ind w:right="133"/>
        <w:rPr>
          <w:sz w:val="28"/>
          <w:szCs w:val="28"/>
        </w:rPr>
      </w:pPr>
      <w:r w:rsidRPr="00964C87">
        <w:rPr>
          <w:sz w:val="28"/>
          <w:szCs w:val="28"/>
        </w:rPr>
        <w:t xml:space="preserve">Where you have a prior year assessment </w:t>
      </w:r>
    </w:p>
    <w:p w14:paraId="0973B174" w14:textId="03A2326C" w:rsidR="005440D1" w:rsidRDefault="005440D1" w:rsidP="0041602F">
      <w:r w:rsidRPr="00474504">
        <w:t>You will be an SBE or an MBE for the most recent income year that has been assessed</w:t>
      </w:r>
      <w:r w:rsidR="007B5273">
        <w:t>.</w:t>
      </w:r>
    </w:p>
    <w:p w14:paraId="366B60D2" w14:textId="122F44FF" w:rsidR="005440D1" w:rsidRPr="00474504" w:rsidRDefault="005440D1" w:rsidP="0041602F">
      <w:r w:rsidRPr="00474504">
        <w:t xml:space="preserve">So, if you: </w:t>
      </w:r>
    </w:p>
    <w:p w14:paraId="506E1C2C" w14:textId="233F2D45" w:rsidR="005440D1" w:rsidRPr="00474504" w:rsidRDefault="005440D1" w:rsidP="005440D1">
      <w:pPr>
        <w:pStyle w:val="LetterBodyText"/>
        <w:numPr>
          <w:ilvl w:val="0"/>
          <w:numId w:val="20"/>
        </w:numPr>
        <w:spacing w:before="0"/>
        <w:ind w:right="133"/>
        <w:rPr>
          <w:rFonts w:ascii="Arial" w:hAnsi="Arial" w:cs="Arial"/>
          <w:szCs w:val="20"/>
        </w:rPr>
      </w:pPr>
      <w:r w:rsidRPr="00474504">
        <w:rPr>
          <w:rFonts w:ascii="Arial" w:hAnsi="Arial" w:cs="Arial"/>
          <w:szCs w:val="20"/>
        </w:rPr>
        <w:t>have a 2019 assessment — eligibility is based on the aggregated turnover for 2018</w:t>
      </w:r>
      <w:r w:rsidR="007B5273">
        <w:rPr>
          <w:rFonts w:ascii="Arial" w:hAnsi="Arial" w:cs="Arial"/>
          <w:szCs w:val="20"/>
        </w:rPr>
        <w:t>-</w:t>
      </w:r>
      <w:r w:rsidRPr="00474504">
        <w:rPr>
          <w:rFonts w:ascii="Arial" w:hAnsi="Arial" w:cs="Arial"/>
          <w:szCs w:val="20"/>
        </w:rPr>
        <w:t>19</w:t>
      </w:r>
    </w:p>
    <w:p w14:paraId="2B3BB38E" w14:textId="01B469C8" w:rsidR="005440D1" w:rsidRPr="00474504" w:rsidRDefault="005440D1" w:rsidP="005440D1">
      <w:pPr>
        <w:pStyle w:val="LetterBodyText"/>
        <w:numPr>
          <w:ilvl w:val="0"/>
          <w:numId w:val="20"/>
        </w:numPr>
        <w:spacing w:before="0"/>
        <w:ind w:right="133"/>
        <w:rPr>
          <w:rFonts w:ascii="Arial" w:hAnsi="Arial" w:cs="Arial"/>
          <w:szCs w:val="20"/>
        </w:rPr>
      </w:pPr>
      <w:r w:rsidRPr="00474504">
        <w:rPr>
          <w:rFonts w:ascii="Arial" w:hAnsi="Arial" w:cs="Arial"/>
          <w:szCs w:val="20"/>
        </w:rPr>
        <w:t>have not yet lodged their 2019 tax return, but ha</w:t>
      </w:r>
      <w:r w:rsidR="0032644D">
        <w:rPr>
          <w:rFonts w:ascii="Arial" w:hAnsi="Arial" w:cs="Arial"/>
          <w:szCs w:val="20"/>
        </w:rPr>
        <w:t>ve</w:t>
      </w:r>
      <w:r w:rsidRPr="00474504">
        <w:rPr>
          <w:rFonts w:ascii="Arial" w:hAnsi="Arial" w:cs="Arial"/>
          <w:szCs w:val="20"/>
        </w:rPr>
        <w:t xml:space="preserve"> a 2018 assessment — eligibility is based on the aggregated turnover for 2017</w:t>
      </w:r>
      <w:r w:rsidR="007B5273">
        <w:rPr>
          <w:rFonts w:ascii="Arial" w:hAnsi="Arial" w:cs="Arial"/>
          <w:szCs w:val="20"/>
        </w:rPr>
        <w:t>-</w:t>
      </w:r>
      <w:r w:rsidRPr="00474504">
        <w:rPr>
          <w:rFonts w:ascii="Arial" w:hAnsi="Arial" w:cs="Arial"/>
          <w:szCs w:val="20"/>
        </w:rPr>
        <w:t>18</w:t>
      </w:r>
      <w:r w:rsidR="007B5273">
        <w:rPr>
          <w:rFonts w:ascii="Arial" w:hAnsi="Arial" w:cs="Arial"/>
          <w:szCs w:val="20"/>
        </w:rPr>
        <w:t>, and so on.</w:t>
      </w:r>
    </w:p>
    <w:p w14:paraId="2C6413D2" w14:textId="77777777" w:rsidR="005440D1" w:rsidRPr="00964C87" w:rsidRDefault="005440D1" w:rsidP="005440D1">
      <w:pPr>
        <w:pStyle w:val="Heading2"/>
        <w:ind w:right="133"/>
        <w:rPr>
          <w:sz w:val="28"/>
          <w:szCs w:val="28"/>
        </w:rPr>
      </w:pPr>
      <w:r w:rsidRPr="00964C87">
        <w:rPr>
          <w:sz w:val="28"/>
          <w:szCs w:val="28"/>
        </w:rPr>
        <w:t xml:space="preserve">Where you do not have any prior year assessments </w:t>
      </w:r>
    </w:p>
    <w:p w14:paraId="6CAEC69F" w14:textId="0242343A" w:rsidR="00B9341D" w:rsidRDefault="005440D1" w:rsidP="0041602F">
      <w:r w:rsidRPr="00474504">
        <w:t xml:space="preserve">You will still be eligible if the Commissioner is reasonably satisfied it is likely that you are an SBE or an MBE for the income year that includes the period. </w:t>
      </w:r>
    </w:p>
    <w:p w14:paraId="77000385" w14:textId="203E4554" w:rsidR="005440D1" w:rsidRPr="00474504" w:rsidRDefault="005440D1" w:rsidP="0041602F">
      <w:r w:rsidRPr="00474504">
        <w:t xml:space="preserve">The ATO can determine, based on other information </w:t>
      </w:r>
      <w:r w:rsidR="00B023A7">
        <w:t>it</w:t>
      </w:r>
      <w:r w:rsidRPr="00474504">
        <w:t xml:space="preserve"> hold</w:t>
      </w:r>
      <w:r w:rsidR="00B023A7">
        <w:t>s</w:t>
      </w:r>
      <w:r w:rsidRPr="00474504">
        <w:t>, that you are carrying on a business and ha</w:t>
      </w:r>
      <w:r w:rsidR="0032644D">
        <w:t>ve</w:t>
      </w:r>
      <w:r w:rsidRPr="00474504">
        <w:t xml:space="preserve"> an aggregated annual turnover of less than $50 million for the 2019</w:t>
      </w:r>
      <w:r w:rsidR="00B023A7">
        <w:t>-</w:t>
      </w:r>
      <w:r w:rsidRPr="00474504">
        <w:t>20 or the 2020</w:t>
      </w:r>
      <w:r w:rsidR="00B023A7">
        <w:t>-</w:t>
      </w:r>
      <w:r w:rsidRPr="00474504">
        <w:t>21 income years.</w:t>
      </w:r>
    </w:p>
    <w:p w14:paraId="569405F8" w14:textId="0FF668C8" w:rsidR="005440D1" w:rsidRPr="0041602F" w:rsidRDefault="005440D1" w:rsidP="005440D1">
      <w:pPr>
        <w:pStyle w:val="Heading2"/>
        <w:ind w:right="133"/>
        <w:rPr>
          <w:sz w:val="28"/>
          <w:szCs w:val="28"/>
        </w:rPr>
      </w:pPr>
      <w:r w:rsidRPr="0041602F">
        <w:rPr>
          <w:sz w:val="28"/>
          <w:szCs w:val="28"/>
        </w:rPr>
        <w:lastRenderedPageBreak/>
        <w:t xml:space="preserve">Condition </w:t>
      </w:r>
      <w:r w:rsidR="00B023A7">
        <w:rPr>
          <w:sz w:val="28"/>
          <w:szCs w:val="28"/>
        </w:rPr>
        <w:t>two:</w:t>
      </w:r>
      <w:r w:rsidRPr="0041602F">
        <w:rPr>
          <w:sz w:val="28"/>
          <w:szCs w:val="28"/>
        </w:rPr>
        <w:t xml:space="preserve"> You make a payment subject to PAYG withholding </w:t>
      </w:r>
    </w:p>
    <w:p w14:paraId="07B5D04A" w14:textId="7B1E7C25" w:rsidR="005440D1" w:rsidRPr="00474504" w:rsidRDefault="005440D1" w:rsidP="0041602F">
      <w:r w:rsidRPr="00474504">
        <w:t xml:space="preserve">You are required to make a payment in the period from which an amount must be withheld (even if the amount is not actually withheld) under </w:t>
      </w:r>
      <w:proofErr w:type="spellStart"/>
      <w:r w:rsidRPr="00474504">
        <w:t>Subdiv</w:t>
      </w:r>
      <w:proofErr w:type="spellEnd"/>
      <w:r w:rsidRPr="00474504">
        <w:t xml:space="preserve"> 12-B, 12-C or 12-D in Schedule 1 to the TAA. Basically, these are payments to workers.</w:t>
      </w:r>
    </w:p>
    <w:p w14:paraId="65046E83" w14:textId="77777777" w:rsidR="005440D1" w:rsidRPr="00474504" w:rsidRDefault="005440D1" w:rsidP="0041602F">
      <w:r w:rsidRPr="00474504">
        <w:t>General commentary on the measure has often referred to eligibility being based on 100 per cent of the PAYG withholding reported at label W2 on the activity statement. However, not all amounts reported at label W2 on the activity statement are eligible for the cash flow boost because not all withholding payments are paid to workers.</w:t>
      </w:r>
    </w:p>
    <w:p w14:paraId="76108A4D" w14:textId="5B8DA02F" w:rsidR="005440D1" w:rsidRPr="0041602F" w:rsidRDefault="005440D1" w:rsidP="005440D1">
      <w:pPr>
        <w:pStyle w:val="Heading2"/>
        <w:ind w:right="133"/>
        <w:rPr>
          <w:sz w:val="28"/>
          <w:szCs w:val="28"/>
        </w:rPr>
      </w:pPr>
      <w:r w:rsidRPr="0041602F">
        <w:rPr>
          <w:sz w:val="28"/>
          <w:szCs w:val="28"/>
        </w:rPr>
        <w:t xml:space="preserve">Condition </w:t>
      </w:r>
      <w:r w:rsidR="00B023A7">
        <w:rPr>
          <w:sz w:val="28"/>
          <w:szCs w:val="28"/>
        </w:rPr>
        <w:t xml:space="preserve">three: </w:t>
      </w:r>
      <w:r w:rsidRPr="0041602F">
        <w:rPr>
          <w:sz w:val="28"/>
          <w:szCs w:val="28"/>
        </w:rPr>
        <w:t>You notify the Commissioner</w:t>
      </w:r>
    </w:p>
    <w:p w14:paraId="7396AFB2" w14:textId="77777777" w:rsidR="005440D1" w:rsidRPr="00474504" w:rsidRDefault="005440D1" w:rsidP="0041602F">
      <w:r w:rsidRPr="00474504">
        <w:t>You are required to notify the Commissioner of your entitlement to the cash flow boost in the approved form. This will generally be done by way of lodging your monthly or quarterly activity statement.</w:t>
      </w:r>
    </w:p>
    <w:p w14:paraId="76DF2617" w14:textId="634717F1" w:rsidR="005440D1" w:rsidRPr="0041602F" w:rsidRDefault="005440D1" w:rsidP="005440D1">
      <w:pPr>
        <w:pStyle w:val="Heading2"/>
        <w:ind w:right="133"/>
        <w:rPr>
          <w:sz w:val="28"/>
          <w:szCs w:val="28"/>
        </w:rPr>
      </w:pPr>
      <w:r w:rsidRPr="0041602F">
        <w:rPr>
          <w:sz w:val="28"/>
          <w:szCs w:val="28"/>
        </w:rPr>
        <w:t xml:space="preserve">Condition </w:t>
      </w:r>
      <w:r w:rsidR="00B023A7" w:rsidRPr="0041602F">
        <w:rPr>
          <w:sz w:val="28"/>
          <w:szCs w:val="28"/>
        </w:rPr>
        <w:t xml:space="preserve">four: </w:t>
      </w:r>
      <w:r w:rsidRPr="0041602F">
        <w:rPr>
          <w:sz w:val="28"/>
          <w:szCs w:val="28"/>
        </w:rPr>
        <w:t>You make a payment during the eligible period</w:t>
      </w:r>
    </w:p>
    <w:p w14:paraId="69C525E2" w14:textId="396E75D5" w:rsidR="005440D1" w:rsidRPr="00474504" w:rsidRDefault="005440D1" w:rsidP="0041602F">
      <w:r w:rsidRPr="00474504">
        <w:t xml:space="preserve">You must make an eligible payment during the prescribed period. For </w:t>
      </w:r>
      <w:r w:rsidR="00B023A7">
        <w:t xml:space="preserve">the </w:t>
      </w:r>
      <w:r w:rsidRPr="00474504">
        <w:t>2019-20 year</w:t>
      </w:r>
      <w:r w:rsidR="00B023A7">
        <w:t>,</w:t>
      </w:r>
      <w:r w:rsidRPr="00474504">
        <w:t xml:space="preserve"> the periods are as follows.</w:t>
      </w:r>
    </w:p>
    <w:p w14:paraId="4B4B2DBC" w14:textId="77777777" w:rsidR="005440D1" w:rsidRPr="00474504" w:rsidRDefault="005440D1" w:rsidP="0041602F">
      <w:r w:rsidRPr="00474504">
        <w:t>If the period is:</w:t>
      </w:r>
    </w:p>
    <w:p w14:paraId="1E266EF3" w14:textId="5DAB3AD4" w:rsidR="005440D1" w:rsidRPr="00474504" w:rsidRDefault="005440D1" w:rsidP="005440D1">
      <w:pPr>
        <w:pStyle w:val="LetterBodyText"/>
        <w:numPr>
          <w:ilvl w:val="0"/>
          <w:numId w:val="21"/>
        </w:numPr>
        <w:spacing w:before="0"/>
        <w:ind w:right="133"/>
        <w:rPr>
          <w:rFonts w:ascii="Arial" w:hAnsi="Arial" w:cs="Arial"/>
          <w:szCs w:val="20"/>
        </w:rPr>
      </w:pPr>
      <w:r w:rsidRPr="00474504">
        <w:rPr>
          <w:rFonts w:ascii="Arial" w:hAnsi="Arial" w:cs="Arial"/>
          <w:szCs w:val="20"/>
        </w:rPr>
        <w:t>a month (this applies to large and medium withholders) — the month is March 2020, April 2020, May 2020 or June 2020</w:t>
      </w:r>
    </w:p>
    <w:p w14:paraId="437B1819" w14:textId="77777777" w:rsidR="005440D1" w:rsidRPr="00474504" w:rsidRDefault="005440D1" w:rsidP="005440D1">
      <w:pPr>
        <w:pStyle w:val="LetterBodyText"/>
        <w:numPr>
          <w:ilvl w:val="0"/>
          <w:numId w:val="21"/>
        </w:numPr>
        <w:spacing w:before="0"/>
        <w:ind w:right="133"/>
        <w:rPr>
          <w:rFonts w:ascii="Arial" w:hAnsi="Arial" w:cs="Arial"/>
          <w:szCs w:val="20"/>
        </w:rPr>
      </w:pPr>
      <w:r w:rsidRPr="00474504">
        <w:rPr>
          <w:rFonts w:ascii="Arial" w:hAnsi="Arial" w:cs="Arial"/>
          <w:szCs w:val="20"/>
        </w:rPr>
        <w:t>a quarter (this applies to small withholders) — the quarter ends on 31 March 2020 or 30 June 2020.</w:t>
      </w:r>
    </w:p>
    <w:p w14:paraId="64585D48" w14:textId="0CFCB7AD" w:rsidR="005440D1" w:rsidRPr="0041602F" w:rsidRDefault="005440D1" w:rsidP="005440D1">
      <w:pPr>
        <w:pStyle w:val="Heading2"/>
        <w:ind w:right="133"/>
        <w:rPr>
          <w:sz w:val="28"/>
          <w:szCs w:val="28"/>
        </w:rPr>
      </w:pPr>
      <w:r w:rsidRPr="0041602F">
        <w:rPr>
          <w:sz w:val="28"/>
          <w:szCs w:val="28"/>
        </w:rPr>
        <w:t xml:space="preserve">Condition </w:t>
      </w:r>
      <w:r w:rsidR="00B023A7">
        <w:rPr>
          <w:sz w:val="28"/>
          <w:szCs w:val="28"/>
        </w:rPr>
        <w:t xml:space="preserve">five: </w:t>
      </w:r>
      <w:r w:rsidRPr="0041602F">
        <w:rPr>
          <w:sz w:val="28"/>
          <w:szCs w:val="28"/>
        </w:rPr>
        <w:t>You have an ABN or are ACNC-registered</w:t>
      </w:r>
    </w:p>
    <w:p w14:paraId="2CFF8A12" w14:textId="77777777" w:rsidR="005440D1" w:rsidRPr="00474504" w:rsidRDefault="005440D1" w:rsidP="0041602F">
      <w:r w:rsidRPr="00474504">
        <w:t xml:space="preserve">You either: </w:t>
      </w:r>
    </w:p>
    <w:p w14:paraId="62609221" w14:textId="561F2776" w:rsidR="005440D1" w:rsidRPr="00474504" w:rsidRDefault="005440D1" w:rsidP="005440D1">
      <w:pPr>
        <w:pStyle w:val="LetterBodyText"/>
        <w:numPr>
          <w:ilvl w:val="0"/>
          <w:numId w:val="22"/>
        </w:numPr>
        <w:spacing w:before="0"/>
        <w:ind w:right="133"/>
        <w:rPr>
          <w:rFonts w:ascii="Arial" w:hAnsi="Arial" w:cs="Arial"/>
          <w:szCs w:val="20"/>
        </w:rPr>
      </w:pPr>
      <w:r w:rsidRPr="00474504">
        <w:rPr>
          <w:rFonts w:ascii="Arial" w:hAnsi="Arial" w:cs="Arial"/>
          <w:szCs w:val="20"/>
        </w:rPr>
        <w:t>had an ABN on 12 March 2020 and meet the requirements in condition 6 below</w:t>
      </w:r>
      <w:r w:rsidR="00B023A7">
        <w:rPr>
          <w:rFonts w:ascii="Arial" w:hAnsi="Arial" w:cs="Arial"/>
          <w:szCs w:val="20"/>
        </w:rPr>
        <w:t xml:space="preserve">, </w:t>
      </w:r>
      <w:r w:rsidRPr="00474504">
        <w:rPr>
          <w:rFonts w:ascii="Arial" w:hAnsi="Arial" w:cs="Arial"/>
          <w:szCs w:val="20"/>
        </w:rPr>
        <w:t xml:space="preserve">or </w:t>
      </w:r>
    </w:p>
    <w:p w14:paraId="2DD2E1AB" w14:textId="77777777" w:rsidR="005440D1" w:rsidRPr="00474504" w:rsidRDefault="005440D1" w:rsidP="005440D1">
      <w:pPr>
        <w:pStyle w:val="LetterBodyText"/>
        <w:numPr>
          <w:ilvl w:val="0"/>
          <w:numId w:val="22"/>
        </w:numPr>
        <w:spacing w:before="0"/>
        <w:ind w:right="133"/>
        <w:rPr>
          <w:rFonts w:ascii="Arial" w:hAnsi="Arial" w:cs="Arial"/>
          <w:szCs w:val="20"/>
        </w:rPr>
      </w:pPr>
      <w:r w:rsidRPr="00474504">
        <w:rPr>
          <w:rFonts w:ascii="Arial" w:hAnsi="Arial" w:cs="Arial"/>
          <w:szCs w:val="20"/>
        </w:rPr>
        <w:t>are an ACNC-registered charity at any time in the period.</w:t>
      </w:r>
    </w:p>
    <w:p w14:paraId="0E282342" w14:textId="0439BBE1" w:rsidR="005440D1" w:rsidRPr="0041602F" w:rsidRDefault="005440D1" w:rsidP="005440D1">
      <w:pPr>
        <w:pStyle w:val="Heading2"/>
        <w:ind w:right="133"/>
        <w:rPr>
          <w:sz w:val="28"/>
          <w:szCs w:val="28"/>
        </w:rPr>
      </w:pPr>
      <w:r w:rsidRPr="0041602F">
        <w:rPr>
          <w:sz w:val="28"/>
          <w:szCs w:val="28"/>
        </w:rPr>
        <w:t xml:space="preserve">Condition </w:t>
      </w:r>
      <w:r w:rsidR="00B023A7">
        <w:rPr>
          <w:sz w:val="28"/>
          <w:szCs w:val="28"/>
        </w:rPr>
        <w:t xml:space="preserve">six: </w:t>
      </w:r>
      <w:r w:rsidRPr="0041602F">
        <w:rPr>
          <w:sz w:val="28"/>
          <w:szCs w:val="28"/>
        </w:rPr>
        <w:t xml:space="preserve">You are actively in business </w:t>
      </w:r>
    </w:p>
    <w:p w14:paraId="34DD4F0E" w14:textId="35E94A55" w:rsidR="005440D1" w:rsidRPr="00474504" w:rsidRDefault="005440D1" w:rsidP="0041602F">
      <w:r w:rsidRPr="00474504">
        <w:t xml:space="preserve">One of the conditions </w:t>
      </w:r>
      <w:r w:rsidR="00B023A7">
        <w:t xml:space="preserve">outlined </w:t>
      </w:r>
      <w:r w:rsidRPr="00474504">
        <w:t xml:space="preserve">in </w:t>
      </w:r>
      <w:r w:rsidR="00B023A7">
        <w:t>condition five</w:t>
      </w:r>
      <w:r w:rsidRPr="00474504">
        <w:t xml:space="preserve"> above, where you had an ABN on 12 March 2020, you also must satisfy the condition of being actively in business.</w:t>
      </w:r>
    </w:p>
    <w:p w14:paraId="292E88C8" w14:textId="51D55D12" w:rsidR="005440D1" w:rsidRPr="00474504" w:rsidRDefault="005440D1" w:rsidP="0041602F">
      <w:r w:rsidRPr="00474504">
        <w:t>This is an integrity rule that prevents new or inactive entities being established or revived solely to obtain the cash boost. It sets a low threshold, only requiring a single supply or amount of business income to have been reported to the Commissioner on or before 12 March 2020. It can be satisfied if an entity has provided a single activity statement for any month or quarter since 1 July 2018</w:t>
      </w:r>
      <w:r w:rsidR="00B023A7">
        <w:t>,</w:t>
      </w:r>
      <w:r w:rsidRPr="00474504">
        <w:t xml:space="preserve"> or an income tax return in relation to the 2018</w:t>
      </w:r>
      <w:r w:rsidR="00B023A7">
        <w:t>-</w:t>
      </w:r>
      <w:r w:rsidRPr="00474504">
        <w:t>19 income year.</w:t>
      </w:r>
    </w:p>
    <w:p w14:paraId="79421913" w14:textId="77777777" w:rsidR="005440D1" w:rsidRPr="00474504" w:rsidRDefault="005440D1" w:rsidP="0041602F">
      <w:r w:rsidRPr="00474504">
        <w:t>You will satisfy the "actively in business" requirement in one of two ways.</w:t>
      </w:r>
    </w:p>
    <w:p w14:paraId="7118C25A" w14:textId="78578138" w:rsidR="005440D1" w:rsidRDefault="005440D1" w:rsidP="0041602F">
      <w:pPr>
        <w:rPr>
          <w:rFonts w:cs="Arial"/>
        </w:rPr>
      </w:pPr>
      <w:r w:rsidRPr="0041602F">
        <w:rPr>
          <w:b/>
          <w:bCs/>
        </w:rPr>
        <w:t xml:space="preserve">The </w:t>
      </w:r>
      <w:r w:rsidR="00B023A7">
        <w:rPr>
          <w:b/>
          <w:bCs/>
        </w:rPr>
        <w:t>t</w:t>
      </w:r>
      <w:r w:rsidRPr="0041602F">
        <w:rPr>
          <w:b/>
          <w:bCs/>
        </w:rPr>
        <w:t xml:space="preserve">ax </w:t>
      </w:r>
      <w:r w:rsidR="00B023A7">
        <w:rPr>
          <w:b/>
          <w:bCs/>
        </w:rPr>
        <w:t>r</w:t>
      </w:r>
      <w:r w:rsidRPr="0041602F">
        <w:rPr>
          <w:b/>
          <w:bCs/>
        </w:rPr>
        <w:t>eturn</w:t>
      </w:r>
      <w:r w:rsidR="00B023A7">
        <w:rPr>
          <w:b/>
          <w:bCs/>
        </w:rPr>
        <w:t>, w</w:t>
      </w:r>
      <w:r w:rsidRPr="0041602F">
        <w:rPr>
          <w:b/>
          <w:bCs/>
        </w:rPr>
        <w:t>here:</w:t>
      </w:r>
    </w:p>
    <w:p w14:paraId="5DE4DDB8" w14:textId="7285A2A3" w:rsidR="005440D1" w:rsidRPr="00474504" w:rsidRDefault="005440D1" w:rsidP="005440D1">
      <w:pPr>
        <w:pStyle w:val="LetterBodyText"/>
        <w:numPr>
          <w:ilvl w:val="0"/>
          <w:numId w:val="23"/>
        </w:numPr>
        <w:spacing w:before="0"/>
        <w:ind w:right="133"/>
        <w:rPr>
          <w:rFonts w:ascii="Arial" w:hAnsi="Arial" w:cs="Arial"/>
          <w:szCs w:val="20"/>
        </w:rPr>
      </w:pPr>
      <w:r w:rsidRPr="00474504">
        <w:rPr>
          <w:rFonts w:ascii="Arial" w:hAnsi="Arial" w:cs="Arial"/>
          <w:szCs w:val="20"/>
        </w:rPr>
        <w:t>an amount was included in your assessable income for 2018</w:t>
      </w:r>
      <w:r w:rsidR="007A23E2">
        <w:rPr>
          <w:rFonts w:ascii="Arial" w:hAnsi="Arial" w:cs="Arial"/>
          <w:szCs w:val="20"/>
        </w:rPr>
        <w:t>-</w:t>
      </w:r>
      <w:r w:rsidRPr="00474504">
        <w:rPr>
          <w:rFonts w:ascii="Arial" w:hAnsi="Arial" w:cs="Arial"/>
          <w:szCs w:val="20"/>
        </w:rPr>
        <w:t>19 income year in relation to it carrying on a business</w:t>
      </w:r>
      <w:r w:rsidR="00B023A7">
        <w:rPr>
          <w:rFonts w:ascii="Arial" w:hAnsi="Arial" w:cs="Arial"/>
          <w:szCs w:val="20"/>
        </w:rPr>
        <w:t>,</w:t>
      </w:r>
      <w:r w:rsidRPr="00474504">
        <w:rPr>
          <w:rFonts w:ascii="Arial" w:hAnsi="Arial" w:cs="Arial"/>
          <w:szCs w:val="20"/>
        </w:rPr>
        <w:t xml:space="preserve"> and </w:t>
      </w:r>
    </w:p>
    <w:p w14:paraId="301AD2C2" w14:textId="77777777" w:rsidR="005440D1" w:rsidRPr="00474504" w:rsidRDefault="005440D1" w:rsidP="005440D1">
      <w:pPr>
        <w:pStyle w:val="LetterBodyText"/>
        <w:numPr>
          <w:ilvl w:val="0"/>
          <w:numId w:val="23"/>
        </w:numPr>
        <w:spacing w:before="0"/>
        <w:ind w:right="133"/>
        <w:rPr>
          <w:rFonts w:ascii="Arial" w:hAnsi="Arial" w:cs="Arial"/>
          <w:szCs w:val="20"/>
        </w:rPr>
      </w:pPr>
      <w:r w:rsidRPr="00474504">
        <w:rPr>
          <w:rFonts w:ascii="Arial" w:hAnsi="Arial" w:cs="Arial"/>
          <w:szCs w:val="20"/>
        </w:rPr>
        <w:t xml:space="preserve">the 2019 income tax return was lodged on or before 12 March 2020 (or a later time allowed by the Commissioner). </w:t>
      </w:r>
    </w:p>
    <w:p w14:paraId="10141A12" w14:textId="77777777" w:rsidR="005440D1" w:rsidRPr="00474504" w:rsidRDefault="005440D1" w:rsidP="0041602F">
      <w:r w:rsidRPr="00474504">
        <w:t>This means that you must have lodged your 2019 income tax return by 12 March 2020. However, this is one of two alternative conditions, so if you can’t meet this condition, you will still be eligible if they meet the second condition.</w:t>
      </w:r>
    </w:p>
    <w:p w14:paraId="178A0EB2" w14:textId="7A6A02A6" w:rsidR="005440D1" w:rsidRPr="0041602F" w:rsidRDefault="005440D1" w:rsidP="0041602F">
      <w:pPr>
        <w:rPr>
          <w:b/>
          <w:bCs/>
        </w:rPr>
      </w:pPr>
      <w:r w:rsidRPr="0041602F">
        <w:rPr>
          <w:b/>
          <w:bCs/>
        </w:rPr>
        <w:t>You have made a supply</w:t>
      </w:r>
    </w:p>
    <w:p w14:paraId="266276BE" w14:textId="77777777" w:rsidR="005440D1" w:rsidRPr="00474504" w:rsidRDefault="005440D1" w:rsidP="0041602F">
      <w:r w:rsidRPr="00474504">
        <w:t>You will satisfy the actively in business requirement if:</w:t>
      </w:r>
    </w:p>
    <w:p w14:paraId="2A7213B8" w14:textId="77777777" w:rsidR="005440D1" w:rsidRPr="00474504" w:rsidRDefault="005440D1" w:rsidP="005440D1">
      <w:pPr>
        <w:pStyle w:val="LetterBodyText"/>
        <w:ind w:right="133"/>
        <w:rPr>
          <w:rFonts w:ascii="Arial" w:hAnsi="Arial" w:cs="Arial"/>
          <w:szCs w:val="20"/>
        </w:rPr>
      </w:pPr>
      <w:r w:rsidRPr="00474504">
        <w:rPr>
          <w:rFonts w:ascii="Arial" w:hAnsi="Arial" w:cs="Arial"/>
          <w:szCs w:val="20"/>
        </w:rPr>
        <w:t xml:space="preserve">You made a taxable supply in a tax period that applied to you that: </w:t>
      </w:r>
    </w:p>
    <w:p w14:paraId="756B3243" w14:textId="0BBD4AA5" w:rsidR="005440D1" w:rsidRPr="00474504" w:rsidRDefault="005440D1" w:rsidP="005440D1">
      <w:pPr>
        <w:pStyle w:val="LetterBodyText"/>
        <w:numPr>
          <w:ilvl w:val="0"/>
          <w:numId w:val="24"/>
        </w:numPr>
        <w:spacing w:before="0"/>
        <w:ind w:right="133"/>
        <w:rPr>
          <w:rFonts w:ascii="Arial" w:hAnsi="Arial" w:cs="Arial"/>
          <w:szCs w:val="20"/>
        </w:rPr>
      </w:pPr>
      <w:r w:rsidRPr="00474504">
        <w:rPr>
          <w:rFonts w:ascii="Arial" w:hAnsi="Arial" w:cs="Arial"/>
          <w:szCs w:val="20"/>
        </w:rPr>
        <w:t>started on or after 1 July 2018</w:t>
      </w:r>
      <w:r w:rsidR="007A23E2">
        <w:rPr>
          <w:rFonts w:ascii="Arial" w:hAnsi="Arial" w:cs="Arial"/>
          <w:szCs w:val="20"/>
        </w:rPr>
        <w:t>,</w:t>
      </w:r>
      <w:r w:rsidRPr="00474504">
        <w:rPr>
          <w:rFonts w:ascii="Arial" w:hAnsi="Arial" w:cs="Arial"/>
          <w:szCs w:val="20"/>
        </w:rPr>
        <w:t xml:space="preserve"> and </w:t>
      </w:r>
    </w:p>
    <w:p w14:paraId="2C742BED" w14:textId="77E54021" w:rsidR="005440D1" w:rsidRPr="00474504" w:rsidRDefault="005440D1" w:rsidP="005440D1">
      <w:pPr>
        <w:pStyle w:val="LetterBodyText"/>
        <w:numPr>
          <w:ilvl w:val="0"/>
          <w:numId w:val="24"/>
        </w:numPr>
        <w:spacing w:before="0"/>
        <w:ind w:right="133"/>
        <w:rPr>
          <w:rFonts w:ascii="Arial" w:hAnsi="Arial" w:cs="Arial"/>
          <w:szCs w:val="20"/>
        </w:rPr>
      </w:pPr>
      <w:r w:rsidRPr="00474504">
        <w:rPr>
          <w:rFonts w:ascii="Arial" w:hAnsi="Arial" w:cs="Arial"/>
          <w:szCs w:val="20"/>
        </w:rPr>
        <w:t>ended before 12 March 2020</w:t>
      </w:r>
      <w:r w:rsidR="007A23E2">
        <w:rPr>
          <w:rFonts w:ascii="Arial" w:hAnsi="Arial" w:cs="Arial"/>
          <w:szCs w:val="20"/>
        </w:rPr>
        <w:t>,</w:t>
      </w:r>
      <w:r w:rsidRPr="00474504">
        <w:rPr>
          <w:rFonts w:ascii="Arial" w:hAnsi="Arial" w:cs="Arial"/>
          <w:szCs w:val="20"/>
        </w:rPr>
        <w:t xml:space="preserve"> and </w:t>
      </w:r>
    </w:p>
    <w:p w14:paraId="7FC5F909" w14:textId="77777777" w:rsidR="005440D1" w:rsidRPr="00474504" w:rsidRDefault="005440D1" w:rsidP="0041602F">
      <w:r w:rsidRPr="00474504">
        <w:t xml:space="preserve">the activity statement for that period was lodged on or before 12 March 2020 (or by a later time allowed by the Commissioner). </w:t>
      </w:r>
    </w:p>
    <w:p w14:paraId="68EFDB95" w14:textId="0BFA9ABB" w:rsidR="005440D1" w:rsidRPr="00474504" w:rsidRDefault="005440D1" w:rsidP="0041602F">
      <w:r w:rsidRPr="00474504">
        <w:t>This means that the entity must have made a supply anytime in the period from 1 July 2018 to:</w:t>
      </w:r>
    </w:p>
    <w:p w14:paraId="54C7D325" w14:textId="30DA27ED" w:rsidR="005440D1" w:rsidRPr="00474504" w:rsidRDefault="005440D1" w:rsidP="005440D1">
      <w:pPr>
        <w:pStyle w:val="LetterBodyText"/>
        <w:numPr>
          <w:ilvl w:val="0"/>
          <w:numId w:val="25"/>
        </w:numPr>
        <w:spacing w:before="0"/>
        <w:ind w:right="133"/>
        <w:rPr>
          <w:rFonts w:ascii="Arial" w:hAnsi="Arial" w:cs="Arial"/>
          <w:szCs w:val="20"/>
        </w:rPr>
      </w:pPr>
      <w:r w:rsidRPr="00474504">
        <w:rPr>
          <w:rFonts w:ascii="Arial" w:hAnsi="Arial" w:cs="Arial"/>
          <w:szCs w:val="20"/>
        </w:rPr>
        <w:t>if the entity is a quarterly lodger — 31 December 2019</w:t>
      </w:r>
      <w:r w:rsidR="007A23E2">
        <w:rPr>
          <w:rFonts w:ascii="Arial" w:hAnsi="Arial" w:cs="Arial"/>
          <w:szCs w:val="20"/>
        </w:rPr>
        <w:t>, and</w:t>
      </w:r>
    </w:p>
    <w:p w14:paraId="10FC217D" w14:textId="7278D7F5" w:rsidR="005440D1" w:rsidRPr="00474504" w:rsidRDefault="005440D1" w:rsidP="005440D1">
      <w:pPr>
        <w:pStyle w:val="LetterBodyText"/>
        <w:numPr>
          <w:ilvl w:val="0"/>
          <w:numId w:val="25"/>
        </w:numPr>
        <w:spacing w:before="0"/>
        <w:ind w:right="133"/>
        <w:rPr>
          <w:rFonts w:ascii="Arial" w:hAnsi="Arial" w:cs="Arial"/>
          <w:szCs w:val="20"/>
        </w:rPr>
      </w:pPr>
      <w:r w:rsidRPr="00474504">
        <w:rPr>
          <w:rFonts w:ascii="Arial" w:hAnsi="Arial" w:cs="Arial"/>
          <w:szCs w:val="20"/>
        </w:rPr>
        <w:t xml:space="preserve">if the entity is a monthly lodger — 29 February 2020, </w:t>
      </w:r>
      <w:r w:rsidR="007A23E2">
        <w:rPr>
          <w:rFonts w:ascii="Arial" w:hAnsi="Arial" w:cs="Arial"/>
          <w:szCs w:val="20"/>
        </w:rPr>
        <w:t>and</w:t>
      </w:r>
    </w:p>
    <w:p w14:paraId="339D733B" w14:textId="3C3A8557" w:rsidR="005440D1" w:rsidRPr="00474504" w:rsidRDefault="005440D1" w:rsidP="0041602F">
      <w:r w:rsidRPr="00474504">
        <w:t xml:space="preserve">they must have lodged the activity statement notifying the Commissioner of that taxable supply by 12 March 2020. </w:t>
      </w:r>
    </w:p>
    <w:p w14:paraId="3A5A6877" w14:textId="04BF6690" w:rsidR="005440D1" w:rsidRPr="0041602F" w:rsidRDefault="005440D1" w:rsidP="005440D1">
      <w:pPr>
        <w:pStyle w:val="Heading2"/>
        <w:ind w:right="133"/>
        <w:rPr>
          <w:sz w:val="28"/>
          <w:szCs w:val="28"/>
        </w:rPr>
      </w:pPr>
      <w:r w:rsidRPr="0041602F">
        <w:rPr>
          <w:sz w:val="28"/>
          <w:szCs w:val="28"/>
        </w:rPr>
        <w:t xml:space="preserve">Condition </w:t>
      </w:r>
      <w:r w:rsidR="007A23E2">
        <w:rPr>
          <w:sz w:val="28"/>
          <w:szCs w:val="28"/>
        </w:rPr>
        <w:t xml:space="preserve">seven: </w:t>
      </w:r>
      <w:r w:rsidRPr="0041602F">
        <w:rPr>
          <w:sz w:val="28"/>
          <w:szCs w:val="28"/>
        </w:rPr>
        <w:t xml:space="preserve">Integrity </w:t>
      </w:r>
      <w:r w:rsidR="007A23E2">
        <w:rPr>
          <w:sz w:val="28"/>
          <w:szCs w:val="28"/>
        </w:rPr>
        <w:t>r</w:t>
      </w:r>
      <w:r w:rsidRPr="0041602F">
        <w:rPr>
          <w:sz w:val="28"/>
          <w:szCs w:val="28"/>
        </w:rPr>
        <w:t>ule</w:t>
      </w:r>
    </w:p>
    <w:p w14:paraId="39666264" w14:textId="77777777" w:rsidR="005440D1" w:rsidRPr="00474504" w:rsidRDefault="005440D1" w:rsidP="0041602F">
      <w:r w:rsidRPr="00474504">
        <w:t xml:space="preserve">You will be ineligible if the entity, or its associate or agent, has entered into or carried out a scheme or part of a scheme for the sole or dominant purpose of: </w:t>
      </w:r>
    </w:p>
    <w:p w14:paraId="27D962E8" w14:textId="3DCE5E8E" w:rsidR="005440D1" w:rsidRPr="00474504" w:rsidRDefault="005440D1" w:rsidP="005440D1">
      <w:pPr>
        <w:pStyle w:val="LetterBodyText"/>
        <w:numPr>
          <w:ilvl w:val="0"/>
          <w:numId w:val="26"/>
        </w:numPr>
        <w:spacing w:before="0"/>
        <w:ind w:right="133"/>
        <w:rPr>
          <w:rFonts w:ascii="Arial" w:hAnsi="Arial" w:cs="Arial"/>
          <w:szCs w:val="20"/>
        </w:rPr>
      </w:pPr>
      <w:r w:rsidRPr="00474504">
        <w:rPr>
          <w:rFonts w:ascii="Arial" w:hAnsi="Arial" w:cs="Arial"/>
          <w:szCs w:val="20"/>
        </w:rPr>
        <w:t>making the entity entitled to the cash flow boost for the period</w:t>
      </w:r>
      <w:r w:rsidR="007A23E2">
        <w:rPr>
          <w:rFonts w:ascii="Arial" w:hAnsi="Arial" w:cs="Arial"/>
          <w:szCs w:val="20"/>
        </w:rPr>
        <w:t>,</w:t>
      </w:r>
      <w:r w:rsidRPr="00474504">
        <w:rPr>
          <w:rFonts w:ascii="Arial" w:hAnsi="Arial" w:cs="Arial"/>
          <w:szCs w:val="20"/>
        </w:rPr>
        <w:t xml:space="preserve"> or </w:t>
      </w:r>
    </w:p>
    <w:p w14:paraId="59B42A2F" w14:textId="7229BC59" w:rsidR="005440D1" w:rsidRPr="00474504" w:rsidRDefault="005440D1" w:rsidP="005440D1">
      <w:pPr>
        <w:pStyle w:val="LetterBodyText"/>
        <w:numPr>
          <w:ilvl w:val="0"/>
          <w:numId w:val="26"/>
        </w:numPr>
        <w:spacing w:before="0"/>
        <w:ind w:right="133"/>
        <w:rPr>
          <w:rFonts w:ascii="Arial" w:hAnsi="Arial" w:cs="Arial"/>
          <w:szCs w:val="20"/>
        </w:rPr>
      </w:pPr>
      <w:r w:rsidRPr="00474504">
        <w:rPr>
          <w:rFonts w:ascii="Arial" w:hAnsi="Arial" w:cs="Arial"/>
          <w:szCs w:val="20"/>
        </w:rPr>
        <w:t>increasing the amount of the cash flow boost to which the entity is entitled for the period</w:t>
      </w:r>
      <w:r w:rsidR="007A23E2">
        <w:rPr>
          <w:rFonts w:ascii="Arial" w:hAnsi="Arial" w:cs="Arial"/>
          <w:szCs w:val="20"/>
        </w:rPr>
        <w:t>.</w:t>
      </w:r>
    </w:p>
    <w:p w14:paraId="6FC326FC" w14:textId="4C6A4D11" w:rsidR="005440D1" w:rsidRPr="0041602F" w:rsidRDefault="005440D1" w:rsidP="005440D1">
      <w:pPr>
        <w:pStyle w:val="LetterBodyText"/>
        <w:ind w:right="133"/>
        <w:rPr>
          <w:rFonts w:ascii="Arial" w:eastAsia="MS Gothic" w:hAnsi="Arial"/>
          <w:b/>
          <w:bCs/>
          <w:color w:val="21314D"/>
          <w:sz w:val="28"/>
          <w:szCs w:val="28"/>
          <w:lang w:val="en-US"/>
        </w:rPr>
      </w:pPr>
      <w:r w:rsidRPr="0041602F">
        <w:rPr>
          <w:rFonts w:ascii="Arial" w:eastAsia="MS Gothic" w:hAnsi="Arial"/>
          <w:b/>
          <w:bCs/>
          <w:color w:val="21314D"/>
          <w:sz w:val="28"/>
          <w:szCs w:val="28"/>
          <w:lang w:val="en-US"/>
        </w:rPr>
        <w:t xml:space="preserve">How will the </w:t>
      </w:r>
      <w:r w:rsidR="003522D7">
        <w:rPr>
          <w:rFonts w:ascii="Arial" w:eastAsia="MS Gothic" w:hAnsi="Arial"/>
          <w:b/>
          <w:bCs/>
          <w:color w:val="21314D"/>
          <w:sz w:val="28"/>
          <w:szCs w:val="28"/>
          <w:lang w:val="en-US"/>
        </w:rPr>
        <w:t>c</w:t>
      </w:r>
      <w:r w:rsidRPr="0041602F">
        <w:rPr>
          <w:rFonts w:ascii="Arial" w:eastAsia="MS Gothic" w:hAnsi="Arial"/>
          <w:b/>
          <w:bCs/>
          <w:color w:val="21314D"/>
          <w:sz w:val="28"/>
          <w:szCs w:val="28"/>
          <w:lang w:val="en-US"/>
        </w:rPr>
        <w:t xml:space="preserve">ash </w:t>
      </w:r>
      <w:r w:rsidR="003522D7">
        <w:rPr>
          <w:rFonts w:ascii="Arial" w:eastAsia="MS Gothic" w:hAnsi="Arial"/>
          <w:b/>
          <w:bCs/>
          <w:color w:val="21314D"/>
          <w:sz w:val="28"/>
          <w:szCs w:val="28"/>
          <w:lang w:val="en-US"/>
        </w:rPr>
        <w:t>f</w:t>
      </w:r>
      <w:r w:rsidRPr="0041602F">
        <w:rPr>
          <w:rFonts w:ascii="Arial" w:eastAsia="MS Gothic" w:hAnsi="Arial"/>
          <w:b/>
          <w:bCs/>
          <w:color w:val="21314D"/>
          <w:sz w:val="28"/>
          <w:szCs w:val="28"/>
          <w:lang w:val="en-US"/>
        </w:rPr>
        <w:t xml:space="preserve">low </w:t>
      </w:r>
      <w:r w:rsidR="003522D7">
        <w:rPr>
          <w:rFonts w:ascii="Arial" w:eastAsia="MS Gothic" w:hAnsi="Arial"/>
          <w:b/>
          <w:bCs/>
          <w:color w:val="21314D"/>
          <w:sz w:val="28"/>
          <w:szCs w:val="28"/>
          <w:lang w:val="en-US"/>
        </w:rPr>
        <w:t>b</w:t>
      </w:r>
      <w:r w:rsidRPr="0041602F">
        <w:rPr>
          <w:rFonts w:ascii="Arial" w:eastAsia="MS Gothic" w:hAnsi="Arial"/>
          <w:b/>
          <w:bCs/>
          <w:color w:val="21314D"/>
          <w:sz w:val="28"/>
          <w:szCs w:val="28"/>
          <w:lang w:val="en-US"/>
        </w:rPr>
        <w:t xml:space="preserve">oost </w:t>
      </w:r>
      <w:r w:rsidR="003522D7">
        <w:rPr>
          <w:rFonts w:ascii="Arial" w:eastAsia="MS Gothic" w:hAnsi="Arial"/>
          <w:b/>
          <w:bCs/>
          <w:color w:val="21314D"/>
          <w:sz w:val="28"/>
          <w:szCs w:val="28"/>
          <w:lang w:val="en-US"/>
        </w:rPr>
        <w:t>a</w:t>
      </w:r>
      <w:r w:rsidRPr="0041602F">
        <w:rPr>
          <w:rFonts w:ascii="Arial" w:eastAsia="MS Gothic" w:hAnsi="Arial"/>
          <w:b/>
          <w:bCs/>
          <w:color w:val="21314D"/>
          <w:sz w:val="28"/>
          <w:szCs w:val="28"/>
          <w:lang w:val="en-US"/>
        </w:rPr>
        <w:t xml:space="preserve">ctually </w:t>
      </w:r>
      <w:r w:rsidR="003522D7">
        <w:rPr>
          <w:rFonts w:ascii="Arial" w:eastAsia="MS Gothic" w:hAnsi="Arial"/>
          <w:b/>
          <w:bCs/>
          <w:color w:val="21314D"/>
          <w:sz w:val="28"/>
          <w:szCs w:val="28"/>
          <w:lang w:val="en-US"/>
        </w:rPr>
        <w:t>w</w:t>
      </w:r>
      <w:r w:rsidRPr="0041602F">
        <w:rPr>
          <w:rFonts w:ascii="Arial" w:eastAsia="MS Gothic" w:hAnsi="Arial"/>
          <w:b/>
          <w:bCs/>
          <w:color w:val="21314D"/>
          <w:sz w:val="28"/>
          <w:szCs w:val="28"/>
          <w:lang w:val="en-US"/>
        </w:rPr>
        <w:t>ork?</w:t>
      </w:r>
    </w:p>
    <w:p w14:paraId="2CBB908D" w14:textId="77777777" w:rsidR="005440D1" w:rsidRPr="00474504" w:rsidRDefault="005440D1" w:rsidP="0041602F">
      <w:r w:rsidRPr="00474504">
        <w:t xml:space="preserve">The cash flow boost will be tax-free and automatically calculated by the ATO; no new registrations or new forms will be required. </w:t>
      </w:r>
    </w:p>
    <w:p w14:paraId="32A54691" w14:textId="77777777" w:rsidR="005440D1" w:rsidRPr="00474504" w:rsidRDefault="005440D1" w:rsidP="0041602F">
      <w:r w:rsidRPr="00474504">
        <w:t xml:space="preserve">The cash flow boost will be delivered by the ATO as an </w:t>
      </w:r>
      <w:r w:rsidRPr="0041602F">
        <w:rPr>
          <w:b/>
          <w:bCs/>
        </w:rPr>
        <w:t xml:space="preserve">automatic </w:t>
      </w:r>
      <w:r w:rsidRPr="00474504">
        <w:rPr>
          <w:b/>
        </w:rPr>
        <w:t>credit</w:t>
      </w:r>
      <w:r w:rsidRPr="00474504">
        <w:t xml:space="preserve"> (</w:t>
      </w:r>
      <w:r w:rsidRPr="0041602F">
        <w:rPr>
          <w:bCs/>
        </w:rPr>
        <w:t>not a cash payment</w:t>
      </w:r>
      <w:r w:rsidRPr="00474504">
        <w:t xml:space="preserve">) in the activity statement system from 28 April 2020 upon employers lodging eligible upcoming activity statements. </w:t>
      </w:r>
    </w:p>
    <w:p w14:paraId="0990FE3F" w14:textId="77777777" w:rsidR="005440D1" w:rsidRPr="00474504" w:rsidRDefault="005440D1" w:rsidP="0041602F">
      <w:r w:rsidRPr="00474504">
        <w:rPr>
          <w:b/>
        </w:rPr>
        <w:t>Quarterly lodgers</w:t>
      </w:r>
      <w:r w:rsidRPr="00474504">
        <w:t xml:space="preserve"> will be eligible to receive:</w:t>
      </w:r>
    </w:p>
    <w:p w14:paraId="1A767B00" w14:textId="251B5B0C" w:rsidR="005440D1" w:rsidRPr="00474504" w:rsidRDefault="005440D1" w:rsidP="005440D1">
      <w:pPr>
        <w:pStyle w:val="LetterBodyText"/>
        <w:numPr>
          <w:ilvl w:val="0"/>
          <w:numId w:val="27"/>
        </w:numPr>
        <w:spacing w:before="0"/>
        <w:ind w:right="133"/>
        <w:rPr>
          <w:rFonts w:ascii="Arial" w:hAnsi="Arial" w:cs="Arial"/>
          <w:szCs w:val="20"/>
        </w:rPr>
      </w:pPr>
      <w:r w:rsidRPr="00474504">
        <w:rPr>
          <w:rFonts w:ascii="Arial" w:hAnsi="Arial" w:cs="Arial"/>
          <w:szCs w:val="20"/>
        </w:rPr>
        <w:t>the first boost once they lodge their March 2020 and June 2020 activity statements (up to a total of $50,000)</w:t>
      </w:r>
      <w:r w:rsidR="00D60DF4">
        <w:rPr>
          <w:rFonts w:ascii="Arial" w:hAnsi="Arial" w:cs="Arial"/>
          <w:szCs w:val="20"/>
        </w:rPr>
        <w:t xml:space="preserve">, </w:t>
      </w:r>
      <w:r w:rsidRPr="00474504">
        <w:rPr>
          <w:rFonts w:ascii="Arial" w:hAnsi="Arial" w:cs="Arial"/>
          <w:szCs w:val="20"/>
        </w:rPr>
        <w:t xml:space="preserve">and </w:t>
      </w:r>
    </w:p>
    <w:p w14:paraId="4E5966BF" w14:textId="77777777" w:rsidR="005440D1" w:rsidRPr="00474504" w:rsidRDefault="005440D1" w:rsidP="005440D1">
      <w:pPr>
        <w:pStyle w:val="LetterBodyText"/>
        <w:numPr>
          <w:ilvl w:val="0"/>
          <w:numId w:val="27"/>
        </w:numPr>
        <w:spacing w:before="0"/>
        <w:ind w:right="133"/>
        <w:rPr>
          <w:rFonts w:ascii="Arial" w:hAnsi="Arial" w:cs="Arial"/>
          <w:szCs w:val="20"/>
        </w:rPr>
      </w:pPr>
      <w:r w:rsidRPr="00474504">
        <w:rPr>
          <w:rFonts w:ascii="Arial" w:hAnsi="Arial" w:cs="Arial"/>
          <w:szCs w:val="20"/>
        </w:rPr>
        <w:t xml:space="preserve">the second boost once they lodge their June 2020 and September 2020 activity statements (up to a total of a further $50,000). </w:t>
      </w:r>
    </w:p>
    <w:p w14:paraId="56C78C9F" w14:textId="77777777" w:rsidR="005440D1" w:rsidRPr="00474504" w:rsidRDefault="005440D1" w:rsidP="0041602F">
      <w:r w:rsidRPr="00474504">
        <w:rPr>
          <w:b/>
        </w:rPr>
        <w:t>Monthly lodgers</w:t>
      </w:r>
      <w:r w:rsidRPr="00474504">
        <w:t xml:space="preserve"> will be eligible to receive:</w:t>
      </w:r>
    </w:p>
    <w:p w14:paraId="406A846E" w14:textId="258094FB" w:rsidR="005440D1" w:rsidRPr="00474504" w:rsidRDefault="005440D1" w:rsidP="005440D1">
      <w:pPr>
        <w:pStyle w:val="LetterBodyText"/>
        <w:numPr>
          <w:ilvl w:val="0"/>
          <w:numId w:val="28"/>
        </w:numPr>
        <w:spacing w:before="0"/>
        <w:ind w:right="133"/>
        <w:rPr>
          <w:rFonts w:ascii="Arial" w:hAnsi="Arial" w:cs="Arial"/>
          <w:szCs w:val="20"/>
        </w:rPr>
      </w:pPr>
      <w:r w:rsidRPr="00474504">
        <w:rPr>
          <w:rFonts w:ascii="Arial" w:hAnsi="Arial" w:cs="Arial"/>
          <w:szCs w:val="20"/>
        </w:rPr>
        <w:t>the first boost once they lodge their March 2020, April 2020, May 2020 and June 2020 activity statements (up to a total of $50,000)</w:t>
      </w:r>
      <w:r w:rsidR="00D60DF4">
        <w:rPr>
          <w:rFonts w:ascii="Arial" w:hAnsi="Arial" w:cs="Arial"/>
          <w:szCs w:val="20"/>
        </w:rPr>
        <w:t xml:space="preserve">, </w:t>
      </w:r>
      <w:r w:rsidRPr="00474504">
        <w:rPr>
          <w:rFonts w:ascii="Arial" w:hAnsi="Arial" w:cs="Arial"/>
          <w:szCs w:val="20"/>
        </w:rPr>
        <w:t>and</w:t>
      </w:r>
    </w:p>
    <w:p w14:paraId="5167538A" w14:textId="77777777" w:rsidR="005440D1" w:rsidRDefault="005440D1" w:rsidP="005440D1">
      <w:pPr>
        <w:pStyle w:val="LetterBodyText"/>
        <w:numPr>
          <w:ilvl w:val="0"/>
          <w:numId w:val="28"/>
        </w:numPr>
        <w:spacing w:before="0"/>
        <w:ind w:right="133"/>
        <w:rPr>
          <w:rFonts w:ascii="Arial" w:hAnsi="Arial" w:cs="Arial"/>
          <w:szCs w:val="20"/>
        </w:rPr>
      </w:pPr>
      <w:r w:rsidRPr="00474504">
        <w:rPr>
          <w:rFonts w:ascii="Arial" w:hAnsi="Arial" w:cs="Arial"/>
          <w:szCs w:val="20"/>
        </w:rPr>
        <w:t>the second boost once they lodge their June 2020, July 2020, August 2020 and September 2020 activity statements (up to a total of a further $50,000).</w:t>
      </w:r>
    </w:p>
    <w:p w14:paraId="03FCBE56" w14:textId="77777777" w:rsidR="005440D1" w:rsidRPr="00A3395D" w:rsidRDefault="005440D1" w:rsidP="005440D1">
      <w:pPr>
        <w:pStyle w:val="LetterBodyText"/>
        <w:spacing w:before="0"/>
        <w:ind w:left="720" w:right="133"/>
        <w:rPr>
          <w:rFonts w:ascii="Arial" w:hAnsi="Arial" w:cs="Arial"/>
          <w:szCs w:val="20"/>
        </w:rPr>
      </w:pPr>
    </w:p>
    <w:tbl>
      <w:tblPr>
        <w:tblStyle w:val="TableGrid"/>
        <w:tblW w:w="10045" w:type="dxa"/>
        <w:tblLook w:val="04A0" w:firstRow="1" w:lastRow="0" w:firstColumn="1" w:lastColumn="0" w:noHBand="0" w:noVBand="1"/>
      </w:tblPr>
      <w:tblGrid>
        <w:gridCol w:w="1949"/>
        <w:gridCol w:w="3971"/>
        <w:gridCol w:w="4125"/>
      </w:tblGrid>
      <w:tr w:rsidR="005440D1" w:rsidRPr="00474504" w14:paraId="0E71CDA1" w14:textId="77777777" w:rsidTr="008B2A86">
        <w:trPr>
          <w:trHeight w:val="495"/>
        </w:trPr>
        <w:tc>
          <w:tcPr>
            <w:tcW w:w="1949" w:type="dxa"/>
            <w:vAlign w:val="center"/>
          </w:tcPr>
          <w:p w14:paraId="121E9D9F" w14:textId="77777777" w:rsidR="005440D1" w:rsidRPr="00474504" w:rsidRDefault="005440D1" w:rsidP="008B2A86">
            <w:pPr>
              <w:spacing w:before="0" w:after="0"/>
              <w:ind w:right="133"/>
              <w:jc w:val="center"/>
              <w:rPr>
                <w:rFonts w:cs="Arial"/>
                <w:b/>
                <w:sz w:val="20"/>
                <w:szCs w:val="20"/>
                <w:lang w:val="en-AU"/>
              </w:rPr>
            </w:pPr>
            <w:r w:rsidRPr="00474504">
              <w:rPr>
                <w:rFonts w:cs="Arial"/>
                <w:b/>
                <w:sz w:val="20"/>
                <w:szCs w:val="20"/>
                <w:lang w:val="en-AU"/>
              </w:rPr>
              <w:t>Type of lodger</w:t>
            </w:r>
          </w:p>
        </w:tc>
        <w:tc>
          <w:tcPr>
            <w:tcW w:w="3971" w:type="dxa"/>
            <w:vAlign w:val="center"/>
          </w:tcPr>
          <w:p w14:paraId="3B918EF7" w14:textId="50E02ECF" w:rsidR="005440D1" w:rsidRPr="00474504" w:rsidRDefault="005440D1" w:rsidP="008B2A86">
            <w:pPr>
              <w:spacing w:before="0" w:after="0"/>
              <w:ind w:right="133"/>
              <w:jc w:val="center"/>
              <w:rPr>
                <w:rFonts w:cs="Arial"/>
                <w:b/>
                <w:sz w:val="20"/>
                <w:szCs w:val="20"/>
                <w:lang w:val="en-AU"/>
              </w:rPr>
            </w:pPr>
            <w:r w:rsidRPr="00474504">
              <w:rPr>
                <w:rFonts w:cs="Arial"/>
                <w:b/>
                <w:sz w:val="20"/>
                <w:szCs w:val="20"/>
                <w:lang w:val="en-AU"/>
              </w:rPr>
              <w:t>First boost 2019</w:t>
            </w:r>
            <w:r w:rsidR="00D60DF4">
              <w:rPr>
                <w:rFonts w:cs="Arial"/>
                <w:b/>
                <w:sz w:val="20"/>
                <w:szCs w:val="20"/>
                <w:lang w:val="en-AU"/>
              </w:rPr>
              <w:t>-</w:t>
            </w:r>
            <w:r w:rsidRPr="00474504">
              <w:rPr>
                <w:rFonts w:cs="Arial"/>
                <w:b/>
                <w:sz w:val="20"/>
                <w:szCs w:val="20"/>
                <w:lang w:val="en-AU"/>
              </w:rPr>
              <w:t>20</w:t>
            </w:r>
          </w:p>
        </w:tc>
        <w:tc>
          <w:tcPr>
            <w:tcW w:w="4125" w:type="dxa"/>
            <w:vAlign w:val="center"/>
          </w:tcPr>
          <w:p w14:paraId="5A266807" w14:textId="43709BEF" w:rsidR="005440D1" w:rsidRPr="00474504" w:rsidRDefault="005440D1" w:rsidP="008B2A86">
            <w:pPr>
              <w:spacing w:before="0" w:after="0"/>
              <w:ind w:right="133"/>
              <w:jc w:val="center"/>
              <w:rPr>
                <w:rFonts w:cs="Arial"/>
                <w:b/>
                <w:sz w:val="20"/>
                <w:szCs w:val="20"/>
                <w:lang w:val="en-AU"/>
              </w:rPr>
            </w:pPr>
            <w:r w:rsidRPr="00474504">
              <w:rPr>
                <w:rFonts w:cs="Arial"/>
                <w:b/>
                <w:sz w:val="20"/>
                <w:szCs w:val="20"/>
                <w:lang w:val="en-AU"/>
              </w:rPr>
              <w:t>Second boost 2020</w:t>
            </w:r>
            <w:r w:rsidR="00D60DF4">
              <w:rPr>
                <w:rFonts w:cs="Arial"/>
                <w:b/>
                <w:sz w:val="20"/>
                <w:szCs w:val="20"/>
                <w:lang w:val="en-AU"/>
              </w:rPr>
              <w:t>-</w:t>
            </w:r>
            <w:r w:rsidRPr="00474504">
              <w:rPr>
                <w:rFonts w:cs="Arial"/>
                <w:b/>
                <w:sz w:val="20"/>
                <w:szCs w:val="20"/>
                <w:lang w:val="en-AU"/>
              </w:rPr>
              <w:t>21</w:t>
            </w:r>
          </w:p>
        </w:tc>
      </w:tr>
      <w:tr w:rsidR="005440D1" w:rsidRPr="00474504" w14:paraId="3DE8BCC6" w14:textId="77777777" w:rsidTr="008B2A86">
        <w:trPr>
          <w:trHeight w:val="1168"/>
        </w:trPr>
        <w:tc>
          <w:tcPr>
            <w:tcW w:w="1949" w:type="dxa"/>
          </w:tcPr>
          <w:p w14:paraId="3EEA6158" w14:textId="77777777" w:rsidR="005440D1" w:rsidRPr="00474504" w:rsidRDefault="005440D1" w:rsidP="008B2A86">
            <w:pPr>
              <w:spacing w:before="0" w:after="0"/>
              <w:ind w:right="133"/>
              <w:rPr>
                <w:rFonts w:cs="Arial"/>
                <w:b/>
                <w:sz w:val="20"/>
                <w:szCs w:val="20"/>
                <w:lang w:val="en-AU"/>
              </w:rPr>
            </w:pPr>
          </w:p>
          <w:p w14:paraId="40A54E3A" w14:textId="77777777" w:rsidR="005440D1" w:rsidRPr="00474504" w:rsidRDefault="005440D1" w:rsidP="008B2A86">
            <w:pPr>
              <w:spacing w:before="0" w:after="0"/>
              <w:ind w:right="133"/>
              <w:rPr>
                <w:rFonts w:cs="Arial"/>
                <w:b/>
                <w:sz w:val="20"/>
                <w:szCs w:val="20"/>
                <w:lang w:val="en-AU"/>
              </w:rPr>
            </w:pPr>
            <w:r w:rsidRPr="00474504">
              <w:rPr>
                <w:rFonts w:cs="Arial"/>
                <w:b/>
                <w:sz w:val="20"/>
                <w:szCs w:val="20"/>
                <w:lang w:val="en-AU"/>
              </w:rPr>
              <w:t>Quarterly</w:t>
            </w:r>
          </w:p>
        </w:tc>
        <w:tc>
          <w:tcPr>
            <w:tcW w:w="3971" w:type="dxa"/>
          </w:tcPr>
          <w:p w14:paraId="20B6D812" w14:textId="77777777" w:rsidR="005440D1" w:rsidRPr="00474504" w:rsidRDefault="005440D1" w:rsidP="008B2A86">
            <w:pPr>
              <w:spacing w:before="0" w:after="0" w:line="276" w:lineRule="auto"/>
              <w:ind w:right="133"/>
              <w:rPr>
                <w:rFonts w:cs="Arial"/>
                <w:sz w:val="20"/>
                <w:szCs w:val="20"/>
                <w:lang w:val="en-AU"/>
              </w:rPr>
            </w:pPr>
            <w:r w:rsidRPr="00474504">
              <w:rPr>
                <w:rFonts w:cs="Arial"/>
                <w:b/>
                <w:sz w:val="20"/>
                <w:szCs w:val="20"/>
                <w:lang w:val="en-AU"/>
              </w:rPr>
              <w:t>Quarter 3</w:t>
            </w:r>
            <w:r w:rsidRPr="00474504">
              <w:rPr>
                <w:rFonts w:cs="Arial"/>
                <w:sz w:val="20"/>
                <w:szCs w:val="20"/>
                <w:lang w:val="en-AU"/>
              </w:rPr>
              <w:t>: for January, February and March 2020 — from 28 April 2020</w:t>
            </w:r>
          </w:p>
          <w:p w14:paraId="218BEB94" w14:textId="77777777" w:rsidR="005440D1" w:rsidRPr="00474504" w:rsidRDefault="005440D1" w:rsidP="008B2A86">
            <w:pPr>
              <w:spacing w:before="0" w:after="0" w:line="276" w:lineRule="auto"/>
              <w:ind w:right="133"/>
              <w:rPr>
                <w:rFonts w:cs="Arial"/>
                <w:sz w:val="20"/>
                <w:szCs w:val="20"/>
                <w:lang w:val="en-AU"/>
              </w:rPr>
            </w:pPr>
            <w:r w:rsidRPr="00474504">
              <w:rPr>
                <w:rFonts w:cs="Arial"/>
                <w:b/>
                <w:sz w:val="20"/>
                <w:szCs w:val="20"/>
                <w:lang w:val="en-AU"/>
              </w:rPr>
              <w:t>Quarter 4</w:t>
            </w:r>
            <w:r w:rsidRPr="00474504">
              <w:rPr>
                <w:rFonts w:cs="Arial"/>
                <w:sz w:val="20"/>
                <w:szCs w:val="20"/>
                <w:lang w:val="en-AU"/>
              </w:rPr>
              <w:t>: for April, May and June 2020 — from 28 July 2020</w:t>
            </w:r>
          </w:p>
          <w:p w14:paraId="0FD959B8" w14:textId="77777777" w:rsidR="005440D1" w:rsidRPr="00474504" w:rsidRDefault="005440D1" w:rsidP="008B2A86">
            <w:pPr>
              <w:spacing w:before="0" w:after="0" w:line="276" w:lineRule="auto"/>
              <w:ind w:right="133"/>
              <w:rPr>
                <w:rFonts w:cs="Arial"/>
                <w:sz w:val="20"/>
                <w:szCs w:val="20"/>
                <w:lang w:val="en-AU"/>
              </w:rPr>
            </w:pPr>
          </w:p>
        </w:tc>
        <w:tc>
          <w:tcPr>
            <w:tcW w:w="4125" w:type="dxa"/>
          </w:tcPr>
          <w:p w14:paraId="2053B03A" w14:textId="77777777" w:rsidR="005440D1" w:rsidRPr="00474504" w:rsidRDefault="005440D1" w:rsidP="008B2A86">
            <w:pPr>
              <w:spacing w:before="0" w:after="0" w:line="276" w:lineRule="auto"/>
              <w:ind w:right="133"/>
              <w:rPr>
                <w:rFonts w:cs="Arial"/>
                <w:sz w:val="20"/>
                <w:szCs w:val="20"/>
                <w:lang w:val="en-AU"/>
              </w:rPr>
            </w:pPr>
            <w:r w:rsidRPr="00474504">
              <w:rPr>
                <w:rFonts w:cs="Arial"/>
                <w:b/>
                <w:sz w:val="20"/>
                <w:szCs w:val="20"/>
                <w:lang w:val="en-AU"/>
              </w:rPr>
              <w:t>Quarter 4:</w:t>
            </w:r>
            <w:r w:rsidRPr="00474504">
              <w:rPr>
                <w:rFonts w:cs="Arial"/>
                <w:sz w:val="20"/>
                <w:szCs w:val="20"/>
                <w:lang w:val="en-AU"/>
              </w:rPr>
              <w:t xml:space="preserve"> for April, May and June 2020 — from 28 July 2020</w:t>
            </w:r>
          </w:p>
          <w:p w14:paraId="459C6661" w14:textId="77777777" w:rsidR="005440D1" w:rsidRPr="00474504" w:rsidRDefault="005440D1" w:rsidP="008B2A86">
            <w:pPr>
              <w:spacing w:before="0" w:after="0" w:line="276" w:lineRule="auto"/>
              <w:ind w:right="133"/>
              <w:rPr>
                <w:rFonts w:cs="Arial"/>
                <w:sz w:val="20"/>
                <w:szCs w:val="20"/>
                <w:lang w:val="en-AU"/>
              </w:rPr>
            </w:pPr>
            <w:r w:rsidRPr="00474504">
              <w:rPr>
                <w:rFonts w:cs="Arial"/>
                <w:b/>
                <w:sz w:val="20"/>
                <w:szCs w:val="20"/>
                <w:lang w:val="en-AU"/>
              </w:rPr>
              <w:t>Quarter 1</w:t>
            </w:r>
            <w:r w:rsidRPr="00474504">
              <w:rPr>
                <w:rFonts w:cs="Arial"/>
                <w:sz w:val="20"/>
                <w:szCs w:val="20"/>
                <w:lang w:val="en-AU"/>
              </w:rPr>
              <w:t>: for July, August and September 2020 — from 28 October 2020</w:t>
            </w:r>
          </w:p>
          <w:p w14:paraId="1C1071C1" w14:textId="77777777" w:rsidR="005440D1" w:rsidRPr="00474504" w:rsidRDefault="005440D1" w:rsidP="008B2A86">
            <w:pPr>
              <w:spacing w:before="0" w:after="0"/>
              <w:ind w:right="133"/>
              <w:rPr>
                <w:rFonts w:cs="Arial"/>
                <w:sz w:val="20"/>
                <w:szCs w:val="20"/>
                <w:lang w:val="en-AU"/>
              </w:rPr>
            </w:pPr>
          </w:p>
        </w:tc>
      </w:tr>
      <w:tr w:rsidR="005440D1" w:rsidRPr="00474504" w14:paraId="48735F3C" w14:textId="77777777" w:rsidTr="008B2A86">
        <w:trPr>
          <w:trHeight w:val="1177"/>
        </w:trPr>
        <w:tc>
          <w:tcPr>
            <w:tcW w:w="1949" w:type="dxa"/>
          </w:tcPr>
          <w:p w14:paraId="249ED298" w14:textId="77777777" w:rsidR="005440D1" w:rsidRPr="00474504" w:rsidRDefault="005440D1" w:rsidP="008B2A86">
            <w:pPr>
              <w:spacing w:before="0" w:after="0"/>
              <w:ind w:right="133"/>
              <w:rPr>
                <w:rFonts w:cs="Arial"/>
                <w:b/>
                <w:sz w:val="20"/>
                <w:szCs w:val="20"/>
                <w:lang w:val="en-AU"/>
              </w:rPr>
            </w:pPr>
          </w:p>
          <w:p w14:paraId="7C01E2D0" w14:textId="77777777" w:rsidR="005440D1" w:rsidRPr="00474504" w:rsidRDefault="005440D1" w:rsidP="008B2A86">
            <w:pPr>
              <w:spacing w:before="0" w:after="0"/>
              <w:ind w:right="133"/>
              <w:rPr>
                <w:rFonts w:cs="Arial"/>
                <w:b/>
                <w:sz w:val="20"/>
                <w:szCs w:val="20"/>
                <w:lang w:val="en-AU"/>
              </w:rPr>
            </w:pPr>
            <w:r w:rsidRPr="00474504">
              <w:rPr>
                <w:rFonts w:cs="Arial"/>
                <w:b/>
                <w:sz w:val="20"/>
                <w:szCs w:val="20"/>
                <w:lang w:val="en-AU"/>
              </w:rPr>
              <w:t>Monthly</w:t>
            </w:r>
          </w:p>
        </w:tc>
        <w:tc>
          <w:tcPr>
            <w:tcW w:w="3971" w:type="dxa"/>
          </w:tcPr>
          <w:p w14:paraId="6F673E58" w14:textId="77777777" w:rsidR="005440D1" w:rsidRPr="00474504" w:rsidRDefault="005440D1" w:rsidP="008B2A86">
            <w:pPr>
              <w:spacing w:before="0" w:after="0" w:line="276" w:lineRule="auto"/>
              <w:ind w:right="133"/>
              <w:rPr>
                <w:rFonts w:cs="Arial"/>
                <w:sz w:val="20"/>
                <w:szCs w:val="20"/>
                <w:lang w:val="en-AU"/>
              </w:rPr>
            </w:pPr>
            <w:r w:rsidRPr="00474504">
              <w:rPr>
                <w:rFonts w:cs="Arial"/>
                <w:b/>
                <w:sz w:val="20"/>
                <w:szCs w:val="20"/>
                <w:lang w:val="en-AU"/>
              </w:rPr>
              <w:t>March</w:t>
            </w:r>
            <w:r w:rsidRPr="00474504">
              <w:rPr>
                <w:rFonts w:cs="Arial"/>
                <w:sz w:val="20"/>
                <w:szCs w:val="20"/>
                <w:lang w:val="en-AU"/>
              </w:rPr>
              <w:t xml:space="preserve"> 2020 — from 28 April 2020</w:t>
            </w:r>
          </w:p>
          <w:p w14:paraId="66CFAEAD" w14:textId="77777777" w:rsidR="005440D1" w:rsidRPr="00474504" w:rsidRDefault="005440D1" w:rsidP="008B2A86">
            <w:pPr>
              <w:spacing w:before="0" w:after="0" w:line="276" w:lineRule="auto"/>
              <w:ind w:right="133"/>
              <w:rPr>
                <w:rFonts w:cs="Arial"/>
                <w:sz w:val="20"/>
                <w:szCs w:val="20"/>
                <w:lang w:val="en-AU"/>
              </w:rPr>
            </w:pPr>
            <w:r w:rsidRPr="00474504">
              <w:rPr>
                <w:rFonts w:cs="Arial"/>
                <w:b/>
                <w:sz w:val="20"/>
                <w:szCs w:val="20"/>
                <w:lang w:val="en-AU"/>
              </w:rPr>
              <w:t>April</w:t>
            </w:r>
            <w:r w:rsidRPr="00474504">
              <w:rPr>
                <w:rFonts w:cs="Arial"/>
                <w:sz w:val="20"/>
                <w:szCs w:val="20"/>
                <w:lang w:val="en-AU"/>
              </w:rPr>
              <w:t xml:space="preserve"> 2020 — from 28 May 2020</w:t>
            </w:r>
          </w:p>
          <w:p w14:paraId="486D14AA" w14:textId="77777777" w:rsidR="005440D1" w:rsidRPr="00474504" w:rsidRDefault="005440D1" w:rsidP="008B2A86">
            <w:pPr>
              <w:spacing w:before="0" w:after="0" w:line="276" w:lineRule="auto"/>
              <w:ind w:right="133"/>
              <w:rPr>
                <w:rFonts w:cs="Arial"/>
                <w:sz w:val="20"/>
                <w:szCs w:val="20"/>
                <w:lang w:val="en-AU"/>
              </w:rPr>
            </w:pPr>
            <w:r w:rsidRPr="00474504">
              <w:rPr>
                <w:rFonts w:cs="Arial"/>
                <w:b/>
                <w:sz w:val="20"/>
                <w:szCs w:val="20"/>
                <w:lang w:val="en-AU"/>
              </w:rPr>
              <w:t>May</w:t>
            </w:r>
            <w:r w:rsidRPr="00474504">
              <w:rPr>
                <w:rFonts w:cs="Arial"/>
                <w:sz w:val="20"/>
                <w:szCs w:val="20"/>
                <w:lang w:val="en-AU"/>
              </w:rPr>
              <w:t xml:space="preserve"> 2020 — from 28 June 2020</w:t>
            </w:r>
          </w:p>
          <w:p w14:paraId="1BBE943A" w14:textId="77777777" w:rsidR="005440D1" w:rsidRPr="00474504" w:rsidRDefault="005440D1" w:rsidP="008B2A86">
            <w:pPr>
              <w:spacing w:before="0" w:after="0" w:line="276" w:lineRule="auto"/>
              <w:ind w:right="133"/>
              <w:rPr>
                <w:rFonts w:cs="Arial"/>
                <w:sz w:val="20"/>
                <w:szCs w:val="20"/>
                <w:lang w:val="en-AU"/>
              </w:rPr>
            </w:pPr>
            <w:r w:rsidRPr="00474504">
              <w:rPr>
                <w:rFonts w:cs="Arial"/>
                <w:b/>
                <w:sz w:val="20"/>
                <w:szCs w:val="20"/>
                <w:lang w:val="en-AU"/>
              </w:rPr>
              <w:t>June</w:t>
            </w:r>
            <w:r w:rsidRPr="00474504">
              <w:rPr>
                <w:rFonts w:cs="Arial"/>
                <w:sz w:val="20"/>
                <w:szCs w:val="20"/>
                <w:lang w:val="en-AU"/>
              </w:rPr>
              <w:t xml:space="preserve"> 2020 — from 28 July 2020</w:t>
            </w:r>
          </w:p>
          <w:p w14:paraId="79494012" w14:textId="77777777" w:rsidR="005440D1" w:rsidRPr="00474504" w:rsidRDefault="005440D1" w:rsidP="008B2A86">
            <w:pPr>
              <w:spacing w:before="0" w:after="0"/>
              <w:ind w:right="133"/>
              <w:jc w:val="center"/>
              <w:rPr>
                <w:rFonts w:cs="Arial"/>
                <w:sz w:val="20"/>
                <w:szCs w:val="20"/>
                <w:lang w:val="en-AU"/>
              </w:rPr>
            </w:pPr>
          </w:p>
        </w:tc>
        <w:tc>
          <w:tcPr>
            <w:tcW w:w="4125" w:type="dxa"/>
          </w:tcPr>
          <w:p w14:paraId="0A2BEBED" w14:textId="77777777" w:rsidR="005440D1" w:rsidRPr="00474504" w:rsidRDefault="005440D1" w:rsidP="008B2A86">
            <w:pPr>
              <w:spacing w:before="0" w:after="0" w:line="276" w:lineRule="auto"/>
              <w:ind w:right="133"/>
              <w:rPr>
                <w:rFonts w:cs="Arial"/>
                <w:sz w:val="20"/>
                <w:szCs w:val="20"/>
                <w:lang w:val="en-AU"/>
              </w:rPr>
            </w:pPr>
            <w:r w:rsidRPr="00474504">
              <w:rPr>
                <w:rFonts w:cs="Arial"/>
                <w:b/>
                <w:sz w:val="20"/>
                <w:szCs w:val="20"/>
                <w:lang w:val="en-AU"/>
              </w:rPr>
              <w:t>June</w:t>
            </w:r>
            <w:r w:rsidRPr="00474504">
              <w:rPr>
                <w:rFonts w:cs="Arial"/>
                <w:sz w:val="20"/>
                <w:szCs w:val="20"/>
                <w:lang w:val="en-AU"/>
              </w:rPr>
              <w:t xml:space="preserve"> 2020 — from 28 July 2020</w:t>
            </w:r>
          </w:p>
          <w:p w14:paraId="5206A077" w14:textId="77777777" w:rsidR="005440D1" w:rsidRPr="00474504" w:rsidRDefault="005440D1" w:rsidP="008B2A86">
            <w:pPr>
              <w:spacing w:before="0" w:after="0" w:line="276" w:lineRule="auto"/>
              <w:ind w:right="133"/>
              <w:rPr>
                <w:rFonts w:cs="Arial"/>
                <w:sz w:val="20"/>
                <w:szCs w:val="20"/>
                <w:lang w:val="en-AU"/>
              </w:rPr>
            </w:pPr>
            <w:r w:rsidRPr="00474504">
              <w:rPr>
                <w:rFonts w:cs="Arial"/>
                <w:b/>
                <w:sz w:val="20"/>
                <w:szCs w:val="20"/>
                <w:lang w:val="en-AU"/>
              </w:rPr>
              <w:t>July</w:t>
            </w:r>
            <w:r w:rsidRPr="00474504">
              <w:rPr>
                <w:rFonts w:cs="Arial"/>
                <w:sz w:val="20"/>
                <w:szCs w:val="20"/>
                <w:lang w:val="en-AU"/>
              </w:rPr>
              <w:t xml:space="preserve"> 2020 — from 28 August 2020</w:t>
            </w:r>
          </w:p>
          <w:p w14:paraId="6346C600" w14:textId="77777777" w:rsidR="005440D1" w:rsidRPr="00474504" w:rsidRDefault="005440D1" w:rsidP="008B2A86">
            <w:pPr>
              <w:spacing w:before="0" w:after="0" w:line="276" w:lineRule="auto"/>
              <w:ind w:right="133"/>
              <w:rPr>
                <w:rFonts w:cs="Arial"/>
                <w:sz w:val="20"/>
                <w:szCs w:val="20"/>
                <w:lang w:val="en-AU"/>
              </w:rPr>
            </w:pPr>
            <w:r w:rsidRPr="00474504">
              <w:rPr>
                <w:rFonts w:cs="Arial"/>
                <w:b/>
                <w:sz w:val="20"/>
                <w:szCs w:val="20"/>
                <w:lang w:val="en-AU"/>
              </w:rPr>
              <w:t>August</w:t>
            </w:r>
            <w:r w:rsidRPr="00474504">
              <w:rPr>
                <w:rFonts w:cs="Arial"/>
                <w:sz w:val="20"/>
                <w:szCs w:val="20"/>
                <w:lang w:val="en-AU"/>
              </w:rPr>
              <w:t xml:space="preserve"> 2020 — from 28 September 2020</w:t>
            </w:r>
          </w:p>
          <w:p w14:paraId="2D26E6DC" w14:textId="77777777" w:rsidR="005440D1" w:rsidRPr="00474504" w:rsidRDefault="005440D1" w:rsidP="008B2A86">
            <w:pPr>
              <w:spacing w:before="0" w:after="0" w:line="276" w:lineRule="auto"/>
              <w:ind w:right="133"/>
              <w:rPr>
                <w:rFonts w:cs="Arial"/>
                <w:sz w:val="20"/>
                <w:szCs w:val="20"/>
                <w:lang w:val="en-AU"/>
              </w:rPr>
            </w:pPr>
            <w:r w:rsidRPr="00474504">
              <w:rPr>
                <w:rFonts w:cs="Arial"/>
                <w:b/>
                <w:sz w:val="20"/>
                <w:szCs w:val="20"/>
                <w:lang w:val="en-AU"/>
              </w:rPr>
              <w:t>September</w:t>
            </w:r>
            <w:r w:rsidRPr="00474504">
              <w:rPr>
                <w:rFonts w:cs="Arial"/>
                <w:sz w:val="20"/>
                <w:szCs w:val="20"/>
                <w:lang w:val="en-AU"/>
              </w:rPr>
              <w:t xml:space="preserve"> 2020 — from 28 October 2020</w:t>
            </w:r>
          </w:p>
        </w:tc>
      </w:tr>
    </w:tbl>
    <w:p w14:paraId="0D196E6C" w14:textId="7DCAC671" w:rsidR="005440D1" w:rsidRPr="005440D1" w:rsidRDefault="005440D1" w:rsidP="005440D1">
      <w:pPr>
        <w:pStyle w:val="Heading2"/>
        <w:ind w:right="133"/>
        <w:rPr>
          <w:sz w:val="28"/>
          <w:szCs w:val="28"/>
        </w:rPr>
      </w:pPr>
      <w:r w:rsidRPr="005440D1">
        <w:rPr>
          <w:sz w:val="28"/>
          <w:szCs w:val="28"/>
        </w:rPr>
        <w:t xml:space="preserve">Timing of the first boost </w:t>
      </w:r>
      <w:r w:rsidR="00D60DF4" w:rsidRPr="005440D1">
        <w:rPr>
          <w:sz w:val="28"/>
          <w:szCs w:val="28"/>
        </w:rPr>
        <w:t>–</w:t>
      </w:r>
      <w:r w:rsidRPr="005440D1">
        <w:rPr>
          <w:sz w:val="28"/>
          <w:szCs w:val="28"/>
        </w:rPr>
        <w:t xml:space="preserve"> 2019</w:t>
      </w:r>
      <w:r w:rsidR="00D60DF4">
        <w:rPr>
          <w:sz w:val="28"/>
          <w:szCs w:val="28"/>
        </w:rPr>
        <w:t>-</w:t>
      </w:r>
      <w:r w:rsidRPr="005440D1">
        <w:rPr>
          <w:sz w:val="28"/>
          <w:szCs w:val="28"/>
        </w:rPr>
        <w:t xml:space="preserve">20 </w:t>
      </w:r>
    </w:p>
    <w:p w14:paraId="23ADCEBF" w14:textId="77777777" w:rsidR="005440D1" w:rsidRPr="00474504" w:rsidRDefault="005440D1" w:rsidP="005440D1">
      <w:pPr>
        <w:pStyle w:val="LetterBodyText"/>
        <w:ind w:right="133"/>
        <w:rPr>
          <w:rFonts w:ascii="Arial" w:hAnsi="Arial" w:cs="Arial"/>
          <w:szCs w:val="20"/>
        </w:rPr>
      </w:pPr>
      <w:r w:rsidRPr="00474504">
        <w:rPr>
          <w:rFonts w:ascii="Arial" w:hAnsi="Arial" w:cs="Arial"/>
          <w:szCs w:val="20"/>
        </w:rPr>
        <w:t>The first boost will be based on 100 per cent of the PAYG withheld in respect of eligible payments up to a maximum of $50,000.</w:t>
      </w:r>
    </w:p>
    <w:p w14:paraId="5DE140FD" w14:textId="4A5AF632" w:rsidR="005440D1" w:rsidRDefault="005440D1" w:rsidP="005440D1">
      <w:pPr>
        <w:pStyle w:val="LetterBodyText"/>
        <w:spacing w:after="240"/>
        <w:ind w:right="133"/>
        <w:rPr>
          <w:rFonts w:ascii="Arial" w:hAnsi="Arial" w:cs="Arial"/>
          <w:szCs w:val="20"/>
        </w:rPr>
      </w:pPr>
      <w:r w:rsidRPr="00474504">
        <w:rPr>
          <w:rFonts w:ascii="Arial" w:hAnsi="Arial" w:cs="Arial"/>
          <w:szCs w:val="20"/>
        </w:rPr>
        <w:t>The first boost will be payable (</w:t>
      </w:r>
      <w:r w:rsidR="002E09B0">
        <w:rPr>
          <w:rFonts w:ascii="Arial" w:hAnsi="Arial" w:cs="Arial"/>
          <w:szCs w:val="20"/>
        </w:rPr>
        <w:t>that is,</w:t>
      </w:r>
      <w:r w:rsidRPr="00474504">
        <w:rPr>
          <w:rFonts w:ascii="Arial" w:hAnsi="Arial" w:cs="Arial"/>
          <w:szCs w:val="20"/>
        </w:rPr>
        <w:t xml:space="preserve"> credited) by the Commissioner following </w:t>
      </w:r>
      <w:proofErr w:type="spellStart"/>
      <w:r w:rsidRPr="00474504">
        <w:rPr>
          <w:rFonts w:ascii="Arial" w:hAnsi="Arial" w:cs="Arial"/>
          <w:szCs w:val="20"/>
        </w:rPr>
        <w:t>lodgment</w:t>
      </w:r>
      <w:proofErr w:type="spellEnd"/>
      <w:r w:rsidRPr="00474504">
        <w:rPr>
          <w:rFonts w:ascii="Arial" w:hAnsi="Arial" w:cs="Arial"/>
          <w:szCs w:val="20"/>
        </w:rPr>
        <w:t xml:space="preserve"> of the eligible activity statements as set out in the table below.</w:t>
      </w:r>
      <w:r w:rsidR="002E09B0">
        <w:rPr>
          <w:rFonts w:ascii="Arial" w:hAnsi="Arial" w:cs="Arial"/>
          <w:szCs w:val="20"/>
        </w:rPr>
        <w:br/>
      </w:r>
      <w:r w:rsidR="002E09B0">
        <w:rPr>
          <w:rFonts w:ascii="Arial" w:hAnsi="Arial" w:cs="Arial"/>
          <w:szCs w:val="20"/>
        </w:rPr>
        <w:br/>
      </w:r>
    </w:p>
    <w:p w14:paraId="1EA3B721" w14:textId="09B53419" w:rsidR="003C6238" w:rsidRDefault="003C6238" w:rsidP="005440D1">
      <w:pPr>
        <w:pStyle w:val="LetterBodyText"/>
        <w:spacing w:after="240"/>
        <w:ind w:right="133"/>
        <w:rPr>
          <w:rFonts w:ascii="Arial" w:hAnsi="Arial" w:cs="Arial"/>
          <w:szCs w:val="20"/>
        </w:rPr>
      </w:pPr>
    </w:p>
    <w:p w14:paraId="079C6506" w14:textId="15DC44AA" w:rsidR="003C6238" w:rsidRDefault="003C6238" w:rsidP="005440D1">
      <w:pPr>
        <w:pStyle w:val="LetterBodyText"/>
        <w:spacing w:after="240"/>
        <w:ind w:right="133"/>
        <w:rPr>
          <w:rFonts w:ascii="Arial" w:hAnsi="Arial" w:cs="Arial"/>
          <w:szCs w:val="20"/>
        </w:rPr>
      </w:pPr>
    </w:p>
    <w:p w14:paraId="3E42EB0D" w14:textId="77777777" w:rsidR="003C6238" w:rsidRDefault="003C6238" w:rsidP="005440D1">
      <w:pPr>
        <w:pStyle w:val="LetterBodyText"/>
        <w:spacing w:after="240"/>
        <w:ind w:right="133"/>
        <w:rPr>
          <w:rFonts w:ascii="Arial" w:hAnsi="Arial" w:cs="Arial"/>
          <w:szCs w:val="20"/>
        </w:rPr>
      </w:pPr>
    </w:p>
    <w:tbl>
      <w:tblPr>
        <w:tblStyle w:val="TableGrid"/>
        <w:tblW w:w="10121" w:type="dxa"/>
        <w:tblLook w:val="04A0" w:firstRow="1" w:lastRow="0" w:firstColumn="1" w:lastColumn="0" w:noHBand="0" w:noVBand="1"/>
      </w:tblPr>
      <w:tblGrid>
        <w:gridCol w:w="1964"/>
        <w:gridCol w:w="5695"/>
        <w:gridCol w:w="2462"/>
      </w:tblGrid>
      <w:tr w:rsidR="005440D1" w:rsidRPr="00474504" w14:paraId="75067AF0" w14:textId="77777777" w:rsidTr="008B2A86">
        <w:trPr>
          <w:trHeight w:val="557"/>
        </w:trPr>
        <w:tc>
          <w:tcPr>
            <w:tcW w:w="1964" w:type="dxa"/>
            <w:vAlign w:val="center"/>
          </w:tcPr>
          <w:p w14:paraId="25870E51" w14:textId="77777777" w:rsidR="005440D1" w:rsidRPr="00474504" w:rsidRDefault="005440D1" w:rsidP="008B2A86">
            <w:pPr>
              <w:pStyle w:val="LetterBodyText"/>
              <w:spacing w:before="0"/>
              <w:ind w:right="133"/>
              <w:rPr>
                <w:rFonts w:ascii="Arial" w:hAnsi="Arial" w:cs="Arial"/>
                <w:b/>
                <w:sz w:val="20"/>
                <w:szCs w:val="20"/>
              </w:rPr>
            </w:pPr>
            <w:r w:rsidRPr="00474504">
              <w:rPr>
                <w:rFonts w:ascii="Arial" w:hAnsi="Arial" w:cs="Arial"/>
                <w:b/>
                <w:sz w:val="20"/>
                <w:szCs w:val="20"/>
              </w:rPr>
              <w:t>Type of lodger</w:t>
            </w:r>
          </w:p>
        </w:tc>
        <w:tc>
          <w:tcPr>
            <w:tcW w:w="5695" w:type="dxa"/>
            <w:vAlign w:val="center"/>
          </w:tcPr>
          <w:p w14:paraId="493CFC30" w14:textId="734267CF" w:rsidR="005440D1" w:rsidRPr="00474504" w:rsidRDefault="005440D1" w:rsidP="008B2A86">
            <w:pPr>
              <w:pStyle w:val="LetterBodyText"/>
              <w:spacing w:before="0"/>
              <w:ind w:right="133"/>
              <w:rPr>
                <w:rFonts w:ascii="Arial" w:hAnsi="Arial" w:cs="Arial"/>
                <w:b/>
                <w:sz w:val="20"/>
                <w:szCs w:val="20"/>
              </w:rPr>
            </w:pPr>
            <w:r w:rsidRPr="00474504">
              <w:rPr>
                <w:rFonts w:ascii="Arial" w:hAnsi="Arial" w:cs="Arial"/>
                <w:b/>
                <w:sz w:val="20"/>
                <w:szCs w:val="20"/>
              </w:rPr>
              <w:t xml:space="preserve">Eligible boost </w:t>
            </w:r>
            <w:r w:rsidR="002E09B0">
              <w:rPr>
                <w:rFonts w:ascii="Arial" w:hAnsi="Arial" w:cs="Arial"/>
                <w:b/>
                <w:sz w:val="20"/>
                <w:szCs w:val="20"/>
              </w:rPr>
              <w:t>p</w:t>
            </w:r>
            <w:r w:rsidRPr="00474504">
              <w:rPr>
                <w:rFonts w:ascii="Arial" w:hAnsi="Arial" w:cs="Arial"/>
                <w:b/>
                <w:sz w:val="20"/>
                <w:szCs w:val="20"/>
              </w:rPr>
              <w:t>eriod</w:t>
            </w:r>
          </w:p>
        </w:tc>
        <w:tc>
          <w:tcPr>
            <w:tcW w:w="2462" w:type="dxa"/>
            <w:vAlign w:val="center"/>
          </w:tcPr>
          <w:p w14:paraId="43A39135" w14:textId="5C90C495" w:rsidR="005440D1" w:rsidRPr="00474504" w:rsidRDefault="005440D1" w:rsidP="008B2A86">
            <w:pPr>
              <w:pStyle w:val="LetterBodyText"/>
              <w:spacing w:before="0"/>
              <w:ind w:right="133"/>
              <w:rPr>
                <w:rFonts w:ascii="Arial" w:hAnsi="Arial" w:cs="Arial"/>
                <w:b/>
                <w:sz w:val="20"/>
                <w:szCs w:val="20"/>
              </w:rPr>
            </w:pPr>
            <w:r w:rsidRPr="00474504">
              <w:rPr>
                <w:rFonts w:ascii="Arial" w:hAnsi="Arial" w:cs="Arial"/>
                <w:b/>
                <w:sz w:val="20"/>
                <w:szCs w:val="20"/>
              </w:rPr>
              <w:t xml:space="preserve">Lodgement </w:t>
            </w:r>
            <w:r w:rsidR="002E09B0">
              <w:rPr>
                <w:rFonts w:ascii="Arial" w:hAnsi="Arial" w:cs="Arial"/>
                <w:b/>
                <w:sz w:val="20"/>
                <w:szCs w:val="20"/>
              </w:rPr>
              <w:t>d</w:t>
            </w:r>
            <w:r w:rsidRPr="00474504">
              <w:rPr>
                <w:rFonts w:ascii="Arial" w:hAnsi="Arial" w:cs="Arial"/>
                <w:b/>
                <w:sz w:val="20"/>
                <w:szCs w:val="20"/>
              </w:rPr>
              <w:t xml:space="preserve">ue </w:t>
            </w:r>
            <w:r w:rsidR="002E09B0">
              <w:rPr>
                <w:rFonts w:ascii="Arial" w:hAnsi="Arial" w:cs="Arial"/>
                <w:b/>
                <w:sz w:val="20"/>
                <w:szCs w:val="20"/>
              </w:rPr>
              <w:t>d</w:t>
            </w:r>
            <w:r w:rsidRPr="00474504">
              <w:rPr>
                <w:rFonts w:ascii="Arial" w:hAnsi="Arial" w:cs="Arial"/>
                <w:b/>
                <w:sz w:val="20"/>
                <w:szCs w:val="20"/>
              </w:rPr>
              <w:t>ate</w:t>
            </w:r>
          </w:p>
        </w:tc>
      </w:tr>
      <w:tr w:rsidR="005440D1" w:rsidRPr="00474504" w14:paraId="01219C3F" w14:textId="77777777" w:rsidTr="008B2A86">
        <w:trPr>
          <w:trHeight w:val="769"/>
        </w:trPr>
        <w:tc>
          <w:tcPr>
            <w:tcW w:w="1964" w:type="dxa"/>
          </w:tcPr>
          <w:p w14:paraId="14A73D7B" w14:textId="77777777" w:rsidR="005440D1" w:rsidRPr="00474504" w:rsidRDefault="005440D1" w:rsidP="008B2A86">
            <w:pPr>
              <w:pStyle w:val="LetterBodyText"/>
              <w:spacing w:before="0"/>
              <w:ind w:right="133"/>
              <w:rPr>
                <w:rFonts w:ascii="Arial" w:hAnsi="Arial" w:cs="Arial"/>
                <w:b/>
                <w:sz w:val="20"/>
                <w:szCs w:val="20"/>
              </w:rPr>
            </w:pPr>
            <w:r w:rsidRPr="00474504">
              <w:rPr>
                <w:rFonts w:ascii="Arial" w:hAnsi="Arial" w:cs="Arial"/>
                <w:b/>
                <w:sz w:val="20"/>
                <w:szCs w:val="20"/>
              </w:rPr>
              <w:t>Quarterly</w:t>
            </w:r>
            <w:r w:rsidRPr="00474504">
              <w:rPr>
                <w:rFonts w:ascii="Arial" w:hAnsi="Arial" w:cs="Arial"/>
                <w:b/>
                <w:sz w:val="20"/>
                <w:szCs w:val="20"/>
              </w:rPr>
              <w:br/>
              <w:t>2019-20</w:t>
            </w:r>
          </w:p>
        </w:tc>
        <w:tc>
          <w:tcPr>
            <w:tcW w:w="5695" w:type="dxa"/>
          </w:tcPr>
          <w:p w14:paraId="6EEE478F" w14:textId="77777777" w:rsidR="005440D1" w:rsidRPr="00474504" w:rsidRDefault="005440D1" w:rsidP="008B2A86">
            <w:pPr>
              <w:pStyle w:val="LetterBodyText"/>
              <w:spacing w:before="0"/>
              <w:ind w:right="133"/>
              <w:rPr>
                <w:rFonts w:ascii="Arial" w:hAnsi="Arial" w:cs="Arial"/>
                <w:sz w:val="20"/>
                <w:szCs w:val="20"/>
              </w:rPr>
            </w:pPr>
            <w:r w:rsidRPr="00474504">
              <w:rPr>
                <w:rFonts w:ascii="Arial" w:hAnsi="Arial" w:cs="Arial"/>
                <w:b/>
                <w:sz w:val="20"/>
                <w:szCs w:val="20"/>
              </w:rPr>
              <w:t>Quarter 3</w:t>
            </w:r>
            <w:r w:rsidRPr="00474504">
              <w:rPr>
                <w:rFonts w:ascii="Arial" w:hAnsi="Arial" w:cs="Arial"/>
                <w:sz w:val="20"/>
                <w:szCs w:val="20"/>
              </w:rPr>
              <w:t xml:space="preserve"> — January, February and March 2020 </w:t>
            </w:r>
          </w:p>
          <w:p w14:paraId="463C3BC6" w14:textId="77777777" w:rsidR="005440D1" w:rsidRPr="00474504" w:rsidRDefault="005440D1" w:rsidP="008B2A86">
            <w:pPr>
              <w:pStyle w:val="LetterBodyText"/>
              <w:spacing w:before="0"/>
              <w:ind w:right="133"/>
              <w:rPr>
                <w:rFonts w:ascii="Arial" w:hAnsi="Arial" w:cs="Arial"/>
                <w:sz w:val="20"/>
                <w:szCs w:val="20"/>
              </w:rPr>
            </w:pPr>
            <w:r w:rsidRPr="00474504">
              <w:rPr>
                <w:rFonts w:ascii="Arial" w:hAnsi="Arial" w:cs="Arial"/>
                <w:b/>
                <w:sz w:val="20"/>
                <w:szCs w:val="20"/>
              </w:rPr>
              <w:t>Quarter 4</w:t>
            </w:r>
            <w:r w:rsidRPr="00474504">
              <w:rPr>
                <w:rFonts w:ascii="Arial" w:hAnsi="Arial" w:cs="Arial"/>
                <w:sz w:val="20"/>
                <w:szCs w:val="20"/>
              </w:rPr>
              <w:t xml:space="preserve"> — April, May and June 2020</w:t>
            </w:r>
            <w:r w:rsidRPr="00474504">
              <w:rPr>
                <w:rFonts w:ascii="Arial" w:hAnsi="Arial" w:cs="Arial"/>
                <w:b/>
                <w:sz w:val="20"/>
                <w:szCs w:val="20"/>
              </w:rPr>
              <w:t xml:space="preserve"> </w:t>
            </w:r>
          </w:p>
        </w:tc>
        <w:tc>
          <w:tcPr>
            <w:tcW w:w="2462" w:type="dxa"/>
          </w:tcPr>
          <w:p w14:paraId="0FCDFA77" w14:textId="77777777" w:rsidR="005440D1" w:rsidRPr="00474504" w:rsidRDefault="005440D1" w:rsidP="008B2A86">
            <w:pPr>
              <w:pStyle w:val="LetterBodyText"/>
              <w:spacing w:before="0"/>
              <w:ind w:right="133"/>
              <w:rPr>
                <w:rFonts w:ascii="Arial" w:hAnsi="Arial" w:cs="Arial"/>
                <w:sz w:val="20"/>
                <w:szCs w:val="20"/>
              </w:rPr>
            </w:pPr>
            <w:r w:rsidRPr="00474504">
              <w:rPr>
                <w:rFonts w:ascii="Arial" w:hAnsi="Arial" w:cs="Arial"/>
                <w:sz w:val="20"/>
                <w:szCs w:val="20"/>
              </w:rPr>
              <w:t>28 April 2020</w:t>
            </w:r>
          </w:p>
          <w:p w14:paraId="6C0E7168" w14:textId="77777777" w:rsidR="005440D1" w:rsidRPr="00474504" w:rsidRDefault="005440D1" w:rsidP="008B2A86">
            <w:pPr>
              <w:pStyle w:val="LetterBodyText"/>
              <w:spacing w:before="0"/>
              <w:ind w:right="133"/>
              <w:rPr>
                <w:rFonts w:ascii="Arial" w:hAnsi="Arial" w:cs="Arial"/>
                <w:sz w:val="20"/>
                <w:szCs w:val="20"/>
              </w:rPr>
            </w:pPr>
            <w:r w:rsidRPr="00474504">
              <w:rPr>
                <w:rFonts w:ascii="Arial" w:hAnsi="Arial" w:cs="Arial"/>
                <w:sz w:val="20"/>
                <w:szCs w:val="20"/>
              </w:rPr>
              <w:t>28 July 2020</w:t>
            </w:r>
          </w:p>
        </w:tc>
      </w:tr>
      <w:tr w:rsidR="005440D1" w:rsidRPr="00474504" w14:paraId="4835D943" w14:textId="77777777" w:rsidTr="008B2A86">
        <w:trPr>
          <w:trHeight w:val="683"/>
        </w:trPr>
        <w:tc>
          <w:tcPr>
            <w:tcW w:w="1964" w:type="dxa"/>
          </w:tcPr>
          <w:p w14:paraId="0173BAF0" w14:textId="77777777" w:rsidR="005440D1" w:rsidRPr="00474504" w:rsidRDefault="005440D1" w:rsidP="008B2A86">
            <w:pPr>
              <w:pStyle w:val="LetterBodyText"/>
              <w:spacing w:before="0"/>
              <w:ind w:right="133"/>
              <w:rPr>
                <w:rFonts w:ascii="Arial" w:hAnsi="Arial" w:cs="Arial"/>
                <w:b/>
                <w:sz w:val="20"/>
                <w:szCs w:val="20"/>
              </w:rPr>
            </w:pPr>
            <w:r w:rsidRPr="00474504">
              <w:rPr>
                <w:rFonts w:ascii="Arial" w:hAnsi="Arial" w:cs="Arial"/>
                <w:b/>
                <w:sz w:val="20"/>
                <w:szCs w:val="20"/>
              </w:rPr>
              <w:t>Monthly</w:t>
            </w:r>
          </w:p>
        </w:tc>
        <w:tc>
          <w:tcPr>
            <w:tcW w:w="5695" w:type="dxa"/>
          </w:tcPr>
          <w:p w14:paraId="4FD73672" w14:textId="77777777" w:rsidR="005440D1" w:rsidRPr="00474504" w:rsidRDefault="005440D1" w:rsidP="008B2A86">
            <w:pPr>
              <w:pStyle w:val="LetterBodyText"/>
              <w:spacing w:before="0"/>
              <w:ind w:right="133"/>
              <w:rPr>
                <w:rFonts w:ascii="Arial" w:hAnsi="Arial" w:cs="Arial"/>
                <w:sz w:val="20"/>
                <w:szCs w:val="20"/>
              </w:rPr>
            </w:pPr>
            <w:r w:rsidRPr="00474504">
              <w:rPr>
                <w:rFonts w:ascii="Arial" w:hAnsi="Arial" w:cs="Arial"/>
                <w:b/>
                <w:sz w:val="20"/>
                <w:szCs w:val="20"/>
              </w:rPr>
              <w:t>March</w:t>
            </w:r>
            <w:r w:rsidRPr="00474504">
              <w:rPr>
                <w:rFonts w:ascii="Arial" w:hAnsi="Arial" w:cs="Arial"/>
                <w:sz w:val="20"/>
                <w:szCs w:val="20"/>
              </w:rPr>
              <w:t xml:space="preserve"> 2020</w:t>
            </w:r>
          </w:p>
          <w:p w14:paraId="0E508DAB" w14:textId="77777777" w:rsidR="005440D1" w:rsidRPr="00474504" w:rsidRDefault="005440D1" w:rsidP="008B2A86">
            <w:pPr>
              <w:pStyle w:val="LetterBodyText"/>
              <w:spacing w:before="0"/>
              <w:ind w:right="133"/>
              <w:rPr>
                <w:rFonts w:ascii="Arial" w:hAnsi="Arial" w:cs="Arial"/>
                <w:sz w:val="20"/>
                <w:szCs w:val="20"/>
              </w:rPr>
            </w:pPr>
            <w:r w:rsidRPr="00474504">
              <w:rPr>
                <w:rFonts w:ascii="Arial" w:hAnsi="Arial" w:cs="Arial"/>
                <w:b/>
                <w:sz w:val="20"/>
                <w:szCs w:val="20"/>
              </w:rPr>
              <w:t>April</w:t>
            </w:r>
            <w:r w:rsidRPr="00474504">
              <w:rPr>
                <w:rFonts w:ascii="Arial" w:hAnsi="Arial" w:cs="Arial"/>
                <w:sz w:val="20"/>
                <w:szCs w:val="20"/>
              </w:rPr>
              <w:t xml:space="preserve"> 2020 </w:t>
            </w:r>
          </w:p>
          <w:p w14:paraId="4357809C" w14:textId="77777777" w:rsidR="005440D1" w:rsidRPr="00474504" w:rsidRDefault="005440D1" w:rsidP="008B2A86">
            <w:pPr>
              <w:pStyle w:val="LetterBodyText"/>
              <w:spacing w:before="0"/>
              <w:ind w:right="133"/>
              <w:rPr>
                <w:rFonts w:ascii="Arial" w:hAnsi="Arial" w:cs="Arial"/>
                <w:sz w:val="20"/>
                <w:szCs w:val="20"/>
              </w:rPr>
            </w:pPr>
            <w:r w:rsidRPr="00474504">
              <w:rPr>
                <w:rFonts w:ascii="Arial" w:hAnsi="Arial" w:cs="Arial"/>
                <w:b/>
                <w:sz w:val="20"/>
                <w:szCs w:val="20"/>
              </w:rPr>
              <w:t>May</w:t>
            </w:r>
            <w:r w:rsidRPr="00474504">
              <w:rPr>
                <w:rFonts w:ascii="Arial" w:hAnsi="Arial" w:cs="Arial"/>
                <w:sz w:val="20"/>
                <w:szCs w:val="20"/>
              </w:rPr>
              <w:t xml:space="preserve"> 2020 </w:t>
            </w:r>
          </w:p>
          <w:p w14:paraId="0EEDAFF3" w14:textId="77777777" w:rsidR="005440D1" w:rsidRPr="00474504" w:rsidRDefault="005440D1" w:rsidP="008B2A86">
            <w:pPr>
              <w:pStyle w:val="LetterBodyText"/>
              <w:spacing w:before="0"/>
              <w:ind w:right="133"/>
              <w:rPr>
                <w:rFonts w:ascii="Arial" w:hAnsi="Arial" w:cs="Arial"/>
                <w:sz w:val="20"/>
                <w:szCs w:val="20"/>
              </w:rPr>
            </w:pPr>
            <w:r w:rsidRPr="00474504">
              <w:rPr>
                <w:rFonts w:ascii="Arial" w:hAnsi="Arial" w:cs="Arial"/>
                <w:b/>
                <w:sz w:val="20"/>
                <w:szCs w:val="20"/>
              </w:rPr>
              <w:t>June</w:t>
            </w:r>
            <w:r w:rsidRPr="00474504">
              <w:rPr>
                <w:rFonts w:ascii="Arial" w:hAnsi="Arial" w:cs="Arial"/>
                <w:sz w:val="20"/>
                <w:szCs w:val="20"/>
              </w:rPr>
              <w:t xml:space="preserve"> 2020 </w:t>
            </w:r>
          </w:p>
        </w:tc>
        <w:tc>
          <w:tcPr>
            <w:tcW w:w="2462" w:type="dxa"/>
          </w:tcPr>
          <w:p w14:paraId="4F83B77F" w14:textId="77777777" w:rsidR="005440D1" w:rsidRPr="00474504" w:rsidRDefault="005440D1" w:rsidP="008B2A86">
            <w:pPr>
              <w:pStyle w:val="LetterBodyText"/>
              <w:spacing w:before="0"/>
              <w:ind w:right="133"/>
              <w:rPr>
                <w:rFonts w:ascii="Arial" w:hAnsi="Arial" w:cs="Arial"/>
                <w:sz w:val="20"/>
                <w:szCs w:val="20"/>
              </w:rPr>
            </w:pPr>
            <w:r w:rsidRPr="00474504">
              <w:rPr>
                <w:rFonts w:ascii="Arial" w:hAnsi="Arial" w:cs="Arial"/>
                <w:sz w:val="20"/>
                <w:szCs w:val="20"/>
              </w:rPr>
              <w:t>21 April 2020</w:t>
            </w:r>
          </w:p>
          <w:p w14:paraId="0B236226" w14:textId="77777777" w:rsidR="005440D1" w:rsidRPr="00474504" w:rsidRDefault="005440D1" w:rsidP="008B2A86">
            <w:pPr>
              <w:pStyle w:val="LetterBodyText"/>
              <w:spacing w:before="0"/>
              <w:ind w:right="133"/>
              <w:rPr>
                <w:rFonts w:ascii="Arial" w:hAnsi="Arial" w:cs="Arial"/>
                <w:sz w:val="20"/>
                <w:szCs w:val="20"/>
              </w:rPr>
            </w:pPr>
            <w:r w:rsidRPr="00474504">
              <w:rPr>
                <w:rFonts w:ascii="Arial" w:hAnsi="Arial" w:cs="Arial"/>
                <w:sz w:val="20"/>
                <w:szCs w:val="20"/>
              </w:rPr>
              <w:t>21 May 2020</w:t>
            </w:r>
          </w:p>
          <w:p w14:paraId="67790B91" w14:textId="77777777" w:rsidR="005440D1" w:rsidRPr="00474504" w:rsidRDefault="005440D1" w:rsidP="008B2A86">
            <w:pPr>
              <w:pStyle w:val="LetterBodyText"/>
              <w:spacing w:before="0"/>
              <w:ind w:right="133"/>
              <w:rPr>
                <w:rFonts w:ascii="Arial" w:hAnsi="Arial" w:cs="Arial"/>
                <w:sz w:val="20"/>
                <w:szCs w:val="20"/>
              </w:rPr>
            </w:pPr>
            <w:r w:rsidRPr="00474504">
              <w:rPr>
                <w:rFonts w:ascii="Arial" w:hAnsi="Arial" w:cs="Arial"/>
                <w:sz w:val="20"/>
                <w:szCs w:val="20"/>
              </w:rPr>
              <w:t>21 June 2020</w:t>
            </w:r>
          </w:p>
          <w:p w14:paraId="29BDA99F" w14:textId="77777777" w:rsidR="005440D1" w:rsidRDefault="005440D1" w:rsidP="008B2A86">
            <w:pPr>
              <w:pStyle w:val="LetterBodyText"/>
              <w:spacing w:before="0"/>
              <w:ind w:right="133"/>
              <w:rPr>
                <w:rFonts w:ascii="Arial" w:hAnsi="Arial" w:cs="Arial"/>
                <w:sz w:val="20"/>
                <w:szCs w:val="20"/>
              </w:rPr>
            </w:pPr>
            <w:r w:rsidRPr="00474504">
              <w:rPr>
                <w:rFonts w:ascii="Arial" w:hAnsi="Arial" w:cs="Arial"/>
                <w:sz w:val="20"/>
                <w:szCs w:val="20"/>
              </w:rPr>
              <w:t>21 July 2020</w:t>
            </w:r>
          </w:p>
          <w:p w14:paraId="6C20FA79" w14:textId="77777777" w:rsidR="005440D1" w:rsidRPr="00474504" w:rsidRDefault="005440D1" w:rsidP="008B2A86">
            <w:pPr>
              <w:pStyle w:val="LetterBodyText"/>
              <w:spacing w:before="0"/>
              <w:ind w:right="133"/>
              <w:rPr>
                <w:rFonts w:ascii="Arial" w:hAnsi="Arial" w:cs="Arial"/>
                <w:sz w:val="20"/>
                <w:szCs w:val="20"/>
              </w:rPr>
            </w:pPr>
          </w:p>
        </w:tc>
      </w:tr>
    </w:tbl>
    <w:p w14:paraId="54DCA8FE" w14:textId="77777777" w:rsidR="005440D1" w:rsidRPr="00474504" w:rsidRDefault="005440D1" w:rsidP="005440D1">
      <w:pPr>
        <w:spacing w:after="200" w:line="276" w:lineRule="auto"/>
        <w:ind w:right="133"/>
        <w:rPr>
          <w:rFonts w:eastAsia="Times New Roman" w:cs="Arial"/>
          <w:lang w:val="en-AU"/>
        </w:rPr>
      </w:pPr>
      <w:r w:rsidRPr="00474504">
        <w:rPr>
          <w:rFonts w:eastAsia="Times New Roman" w:cs="Arial"/>
          <w:lang w:val="en-AU"/>
        </w:rPr>
        <w:t>To provide a similar treatment to quarterly lodgers, the initial first boost for monthly lodgers will be calculated at 300 per cent of the amount reported in the March 2020 monthly activity statement.</w:t>
      </w:r>
    </w:p>
    <w:p w14:paraId="304C0752" w14:textId="77777777" w:rsidR="005440D1" w:rsidRPr="00964C87" w:rsidRDefault="005440D1" w:rsidP="005440D1">
      <w:pPr>
        <w:pStyle w:val="Heading2"/>
        <w:ind w:right="133"/>
        <w:rPr>
          <w:sz w:val="28"/>
          <w:szCs w:val="28"/>
        </w:rPr>
      </w:pPr>
      <w:r w:rsidRPr="00964C87">
        <w:rPr>
          <w:sz w:val="28"/>
          <w:szCs w:val="28"/>
        </w:rPr>
        <w:t xml:space="preserve">Rules which apply to the first boost </w:t>
      </w:r>
    </w:p>
    <w:p w14:paraId="6FC18F9B" w14:textId="38D261E5" w:rsidR="005440D1" w:rsidRPr="00474504" w:rsidRDefault="005440D1" w:rsidP="005440D1">
      <w:pPr>
        <w:spacing w:before="0" w:after="200" w:line="276" w:lineRule="auto"/>
        <w:ind w:right="133"/>
        <w:rPr>
          <w:rFonts w:eastAsia="Times New Roman" w:cs="Arial"/>
          <w:lang w:val="en-AU"/>
        </w:rPr>
      </w:pPr>
      <w:r w:rsidRPr="00474504">
        <w:rPr>
          <w:rFonts w:eastAsia="Times New Roman" w:cs="Arial"/>
          <w:lang w:val="en-AU"/>
        </w:rPr>
        <w:t>The first boost will be payable (</w:t>
      </w:r>
      <w:r w:rsidR="002E09B0">
        <w:rPr>
          <w:rFonts w:eastAsia="Times New Roman" w:cs="Arial"/>
          <w:lang w:val="en-AU"/>
        </w:rPr>
        <w:t xml:space="preserve">that is, </w:t>
      </w:r>
      <w:r w:rsidRPr="00474504">
        <w:rPr>
          <w:rFonts w:eastAsia="Times New Roman" w:cs="Arial"/>
          <w:lang w:val="en-AU"/>
        </w:rPr>
        <w:t xml:space="preserve">credited) by the Commissioner following </w:t>
      </w:r>
      <w:proofErr w:type="spellStart"/>
      <w:r w:rsidRPr="00474504">
        <w:rPr>
          <w:rFonts w:eastAsia="Times New Roman" w:cs="Arial"/>
          <w:lang w:val="en-AU"/>
        </w:rPr>
        <w:t>lodgment</w:t>
      </w:r>
      <w:proofErr w:type="spellEnd"/>
      <w:r w:rsidRPr="00474504">
        <w:rPr>
          <w:rFonts w:eastAsia="Times New Roman" w:cs="Arial"/>
          <w:lang w:val="en-AU"/>
        </w:rPr>
        <w:t xml:space="preserve"> of the activity statement according to the following rules: </w:t>
      </w:r>
    </w:p>
    <w:p w14:paraId="6FAF1DB3" w14:textId="77777777" w:rsidR="005440D1" w:rsidRPr="00474504" w:rsidRDefault="005440D1" w:rsidP="005440D1">
      <w:pPr>
        <w:numPr>
          <w:ilvl w:val="0"/>
          <w:numId w:val="29"/>
        </w:numPr>
        <w:spacing w:before="0" w:after="200" w:line="276" w:lineRule="auto"/>
        <w:ind w:right="133"/>
        <w:contextualSpacing/>
        <w:rPr>
          <w:rFonts w:eastAsia="Times New Roman" w:cs="Arial"/>
          <w:lang w:val="en-AU"/>
        </w:rPr>
      </w:pPr>
      <w:r w:rsidRPr="00474504">
        <w:rPr>
          <w:rFonts w:eastAsia="Times New Roman" w:cs="Arial"/>
          <w:lang w:val="en-AU"/>
        </w:rPr>
        <w:t xml:space="preserve">The Commissioner will not credit the first boost any earlier than the due date of the activity statement, however if the entity lodges the activity statement after the due date for </w:t>
      </w:r>
      <w:proofErr w:type="spellStart"/>
      <w:r w:rsidRPr="00474504">
        <w:rPr>
          <w:rFonts w:eastAsia="Times New Roman" w:cs="Arial"/>
          <w:lang w:val="en-AU"/>
        </w:rPr>
        <w:t>lodgment</w:t>
      </w:r>
      <w:proofErr w:type="spellEnd"/>
      <w:r w:rsidRPr="00474504">
        <w:rPr>
          <w:rFonts w:eastAsia="Times New Roman" w:cs="Arial"/>
          <w:lang w:val="en-AU"/>
        </w:rPr>
        <w:t>, the Commissioner will credit the first boost only once the activity statement is lodged.</w:t>
      </w:r>
    </w:p>
    <w:p w14:paraId="2C13478D" w14:textId="7A0258E4" w:rsidR="005440D1" w:rsidRPr="00474504" w:rsidRDefault="005440D1" w:rsidP="005440D1">
      <w:pPr>
        <w:numPr>
          <w:ilvl w:val="0"/>
          <w:numId w:val="29"/>
        </w:numPr>
        <w:spacing w:before="0" w:after="200" w:line="276" w:lineRule="auto"/>
        <w:ind w:right="133"/>
        <w:contextualSpacing/>
        <w:rPr>
          <w:rFonts w:eastAsia="Times New Roman" w:cs="Arial"/>
          <w:lang w:val="en-AU"/>
        </w:rPr>
      </w:pPr>
      <w:r w:rsidRPr="00474504">
        <w:rPr>
          <w:rFonts w:eastAsia="Times New Roman" w:cs="Arial"/>
          <w:lang w:val="en-AU"/>
        </w:rPr>
        <w:t xml:space="preserve">Despite, point </w:t>
      </w:r>
      <w:r w:rsidR="002E09B0">
        <w:rPr>
          <w:rFonts w:eastAsia="Times New Roman" w:cs="Arial"/>
          <w:lang w:val="en-AU"/>
        </w:rPr>
        <w:t>one</w:t>
      </w:r>
      <w:r w:rsidRPr="00474504">
        <w:rPr>
          <w:rFonts w:eastAsia="Times New Roman" w:cs="Arial"/>
          <w:lang w:val="en-AU"/>
        </w:rPr>
        <w:t xml:space="preserve"> above, monthly lodgers will not receive their first boosts for March 2020 any earlier than 28 April 2020, which is the earliest date the ATO will apply the credits to eligible entities, regardless of whether the entity is a monthly or a quarterly lodger.</w:t>
      </w:r>
    </w:p>
    <w:p w14:paraId="7AACB8DF" w14:textId="77777777" w:rsidR="005440D1" w:rsidRPr="00474504" w:rsidRDefault="005440D1" w:rsidP="005440D1">
      <w:pPr>
        <w:numPr>
          <w:ilvl w:val="0"/>
          <w:numId w:val="29"/>
        </w:numPr>
        <w:spacing w:before="0" w:after="200" w:line="276" w:lineRule="auto"/>
        <w:ind w:right="133"/>
        <w:contextualSpacing/>
        <w:rPr>
          <w:rFonts w:eastAsia="Times New Roman" w:cs="Arial"/>
          <w:lang w:val="en-AU"/>
        </w:rPr>
      </w:pPr>
      <w:r w:rsidRPr="00474504">
        <w:rPr>
          <w:rFonts w:eastAsia="Times New Roman" w:cs="Arial"/>
          <w:lang w:val="en-AU"/>
        </w:rPr>
        <w:t xml:space="preserve">The minimum payment of $10,000 will be applied to the entity’s first </w:t>
      </w:r>
      <w:proofErr w:type="spellStart"/>
      <w:r w:rsidRPr="00474504">
        <w:rPr>
          <w:rFonts w:eastAsia="Times New Roman" w:cs="Arial"/>
          <w:lang w:val="en-AU"/>
        </w:rPr>
        <w:t>lodgment</w:t>
      </w:r>
      <w:proofErr w:type="spellEnd"/>
      <w:r w:rsidRPr="00474504">
        <w:rPr>
          <w:rFonts w:eastAsia="Times New Roman" w:cs="Arial"/>
          <w:lang w:val="en-AU"/>
        </w:rPr>
        <w:t xml:space="preserve">. </w:t>
      </w:r>
    </w:p>
    <w:p w14:paraId="4F3D3C3F" w14:textId="77777777" w:rsidR="005440D1" w:rsidRPr="00474504" w:rsidRDefault="005440D1" w:rsidP="005440D1">
      <w:pPr>
        <w:numPr>
          <w:ilvl w:val="0"/>
          <w:numId w:val="29"/>
        </w:numPr>
        <w:spacing w:before="0" w:after="200" w:line="276" w:lineRule="auto"/>
        <w:ind w:right="133"/>
        <w:contextualSpacing/>
        <w:rPr>
          <w:rFonts w:eastAsia="Times New Roman" w:cs="Arial"/>
          <w:lang w:val="en-AU"/>
        </w:rPr>
      </w:pPr>
      <w:r w:rsidRPr="00474504">
        <w:rPr>
          <w:rFonts w:eastAsia="Times New Roman" w:cs="Arial"/>
          <w:lang w:val="en-AU"/>
        </w:rPr>
        <w:t>No further cash flow boost will be paid to an entity until, but for the minimum amount of $10,000, the amount the entity is entitled to receive exceeds the minimum payment. This means that no further cash flow boost will arise unless the PAYG withheld for the June 2020 quarter, or the months of April, May and June 2020, exceeds $10,000.</w:t>
      </w:r>
    </w:p>
    <w:p w14:paraId="7B3D12D4" w14:textId="77777777" w:rsidR="005440D1" w:rsidRPr="00474504" w:rsidRDefault="005440D1" w:rsidP="005440D1">
      <w:pPr>
        <w:numPr>
          <w:ilvl w:val="0"/>
          <w:numId w:val="29"/>
        </w:numPr>
        <w:spacing w:before="0" w:after="200" w:line="276" w:lineRule="auto"/>
        <w:ind w:right="133"/>
        <w:contextualSpacing/>
        <w:rPr>
          <w:rFonts w:eastAsia="Times New Roman" w:cs="Arial"/>
          <w:lang w:val="en-AU"/>
        </w:rPr>
      </w:pPr>
      <w:r w:rsidRPr="00474504">
        <w:rPr>
          <w:rFonts w:eastAsia="Times New Roman" w:cs="Arial"/>
          <w:lang w:val="en-AU"/>
        </w:rPr>
        <w:t xml:space="preserve">The ATO will apply the cash flow boost against other tax liabilities arising from the </w:t>
      </w:r>
      <w:r w:rsidRPr="00474504">
        <w:rPr>
          <w:rFonts w:eastAsia="Times New Roman" w:cs="Arial"/>
          <w:b/>
          <w:lang w:val="en-AU"/>
        </w:rPr>
        <w:t>same</w:t>
      </w:r>
      <w:r w:rsidRPr="00474504">
        <w:rPr>
          <w:rFonts w:eastAsia="Times New Roman" w:cs="Arial"/>
          <w:lang w:val="en-AU"/>
        </w:rPr>
        <w:t xml:space="preserve"> activity statement. This will result in the entity paying less to the ATO.  </w:t>
      </w:r>
    </w:p>
    <w:p w14:paraId="710835F7" w14:textId="77777777" w:rsidR="005440D1" w:rsidRPr="00474504" w:rsidRDefault="005440D1" w:rsidP="005440D1">
      <w:pPr>
        <w:numPr>
          <w:ilvl w:val="0"/>
          <w:numId w:val="29"/>
        </w:numPr>
        <w:spacing w:before="0" w:after="200" w:line="276" w:lineRule="auto"/>
        <w:ind w:right="133"/>
        <w:contextualSpacing/>
        <w:rPr>
          <w:rFonts w:eastAsia="Times New Roman" w:cs="Arial"/>
          <w:lang w:val="en-AU"/>
        </w:rPr>
      </w:pPr>
      <w:r w:rsidRPr="00474504">
        <w:rPr>
          <w:rFonts w:eastAsia="Times New Roman" w:cs="Arial"/>
          <w:lang w:val="en-AU"/>
        </w:rPr>
        <w:t xml:space="preserve">Where the entity is in a refund position, the ATO will deliver the refund within 14 days. This could happen where: </w:t>
      </w:r>
    </w:p>
    <w:p w14:paraId="630B34BF" w14:textId="77777777" w:rsidR="005440D1" w:rsidRPr="00474504" w:rsidRDefault="005440D1" w:rsidP="005440D1">
      <w:pPr>
        <w:numPr>
          <w:ilvl w:val="0"/>
          <w:numId w:val="30"/>
        </w:numPr>
        <w:spacing w:before="0" w:after="200" w:line="276" w:lineRule="auto"/>
        <w:ind w:left="993" w:right="133" w:hanging="273"/>
        <w:contextualSpacing/>
        <w:rPr>
          <w:rFonts w:eastAsia="Times New Roman" w:cs="Arial"/>
          <w:lang w:val="en-AU"/>
        </w:rPr>
      </w:pPr>
      <w:r w:rsidRPr="00474504">
        <w:rPr>
          <w:rFonts w:eastAsia="Times New Roman" w:cs="Arial"/>
          <w:lang w:val="en-AU"/>
        </w:rPr>
        <w:t xml:space="preserve">the credit exceeds the other tax liabilities on the same activity statement, in which case, the excess is </w:t>
      </w:r>
      <w:r w:rsidRPr="00474504">
        <w:rPr>
          <w:rFonts w:eastAsia="Times New Roman" w:cs="Arial"/>
          <w:b/>
          <w:lang w:val="en-AU"/>
        </w:rPr>
        <w:t>refunded</w:t>
      </w:r>
      <w:r w:rsidRPr="00474504">
        <w:rPr>
          <w:rFonts w:eastAsia="Times New Roman" w:cs="Arial"/>
          <w:lang w:val="en-AU"/>
        </w:rPr>
        <w:t xml:space="preserve"> to the entity as a </w:t>
      </w:r>
      <w:r w:rsidRPr="00474504">
        <w:rPr>
          <w:rFonts w:eastAsia="Times New Roman" w:cs="Arial"/>
          <w:b/>
          <w:lang w:val="en-AU"/>
        </w:rPr>
        <w:t>cash payment</w:t>
      </w:r>
      <w:r w:rsidRPr="00474504">
        <w:rPr>
          <w:rFonts w:eastAsia="Times New Roman" w:cs="Arial"/>
          <w:lang w:val="en-AU"/>
        </w:rPr>
        <w:t xml:space="preserve">; </w:t>
      </w:r>
    </w:p>
    <w:p w14:paraId="3FF37281" w14:textId="77777777" w:rsidR="005440D1" w:rsidRPr="00474504" w:rsidRDefault="005440D1" w:rsidP="005440D1">
      <w:pPr>
        <w:numPr>
          <w:ilvl w:val="0"/>
          <w:numId w:val="30"/>
        </w:numPr>
        <w:spacing w:before="0" w:after="200" w:line="276" w:lineRule="auto"/>
        <w:ind w:left="993" w:right="133" w:hanging="273"/>
        <w:contextualSpacing/>
        <w:rPr>
          <w:rFonts w:eastAsia="Times New Roman" w:cs="Arial"/>
          <w:lang w:val="en-AU"/>
        </w:rPr>
      </w:pPr>
      <w:r w:rsidRPr="00474504">
        <w:rPr>
          <w:rFonts w:eastAsia="Times New Roman" w:cs="Arial"/>
          <w:lang w:val="en-AU"/>
        </w:rPr>
        <w:t xml:space="preserve">the activity statement is overpaid because the first boost wasn’t, or couldn’t, be taken into account when working out the amount payable on the activity statement, in which case, the credit is refunded to the entity as a cash payment. </w:t>
      </w:r>
    </w:p>
    <w:p w14:paraId="797CA703" w14:textId="77777777" w:rsidR="005440D1" w:rsidRPr="00A3395D" w:rsidRDefault="005440D1" w:rsidP="005440D1">
      <w:pPr>
        <w:numPr>
          <w:ilvl w:val="0"/>
          <w:numId w:val="29"/>
        </w:numPr>
        <w:spacing w:before="0" w:after="0" w:line="276" w:lineRule="auto"/>
        <w:ind w:right="133"/>
        <w:contextualSpacing/>
        <w:rPr>
          <w:rFonts w:eastAsia="Times New Roman" w:cs="Arial"/>
          <w:lang w:val="en-AU"/>
        </w:rPr>
      </w:pPr>
      <w:r w:rsidRPr="00474504">
        <w:rPr>
          <w:rFonts w:eastAsia="Times New Roman" w:cs="Arial"/>
          <w:lang w:val="en-AU"/>
        </w:rPr>
        <w:t>If an entity receives a cash flow boost to which it was not entitled, it is obliged to repay that amount, and the general interest charge (GIC) will apply.</w:t>
      </w:r>
    </w:p>
    <w:p w14:paraId="3E200A5D" w14:textId="2AEE953E" w:rsidR="005440D1" w:rsidRPr="00964C87" w:rsidRDefault="005440D1" w:rsidP="005440D1">
      <w:pPr>
        <w:ind w:right="133"/>
        <w:rPr>
          <w:rFonts w:eastAsia="MS Gothic"/>
          <w:b/>
          <w:bCs/>
          <w:color w:val="21314D"/>
          <w:sz w:val="28"/>
          <w:szCs w:val="28"/>
        </w:rPr>
      </w:pPr>
      <w:r w:rsidRPr="00964C87">
        <w:rPr>
          <w:rFonts w:eastAsia="MS Gothic"/>
          <w:b/>
          <w:bCs/>
          <w:color w:val="21314D"/>
          <w:sz w:val="28"/>
          <w:szCs w:val="28"/>
        </w:rPr>
        <w:t xml:space="preserve">Timing of the second boost </w:t>
      </w:r>
      <w:r w:rsidR="002E09B0" w:rsidRPr="00964C87">
        <w:rPr>
          <w:rFonts w:eastAsia="MS Gothic"/>
          <w:b/>
          <w:bCs/>
          <w:color w:val="21314D"/>
          <w:sz w:val="28"/>
          <w:szCs w:val="28"/>
        </w:rPr>
        <w:t>–</w:t>
      </w:r>
      <w:r w:rsidRPr="00964C87">
        <w:rPr>
          <w:rFonts w:eastAsia="MS Gothic"/>
          <w:b/>
          <w:bCs/>
          <w:color w:val="21314D"/>
          <w:sz w:val="28"/>
          <w:szCs w:val="28"/>
        </w:rPr>
        <w:t xml:space="preserve"> 2020</w:t>
      </w:r>
      <w:r w:rsidR="002E09B0">
        <w:rPr>
          <w:rFonts w:eastAsia="MS Gothic"/>
          <w:b/>
          <w:bCs/>
          <w:color w:val="21314D"/>
          <w:sz w:val="28"/>
          <w:szCs w:val="28"/>
        </w:rPr>
        <w:t>-</w:t>
      </w:r>
      <w:r w:rsidRPr="00964C87">
        <w:rPr>
          <w:rFonts w:eastAsia="MS Gothic"/>
          <w:b/>
          <w:bCs/>
          <w:color w:val="21314D"/>
          <w:sz w:val="28"/>
          <w:szCs w:val="28"/>
        </w:rPr>
        <w:t xml:space="preserve">21 </w:t>
      </w:r>
    </w:p>
    <w:p w14:paraId="6E3A5764" w14:textId="77777777" w:rsidR="005440D1" w:rsidRPr="00474504" w:rsidRDefault="005440D1" w:rsidP="005440D1">
      <w:pPr>
        <w:spacing w:before="0" w:after="200" w:line="276" w:lineRule="auto"/>
        <w:ind w:right="133"/>
        <w:rPr>
          <w:rFonts w:eastAsia="Times New Roman" w:cs="Arial"/>
          <w:lang w:val="en-AU"/>
        </w:rPr>
      </w:pPr>
      <w:r w:rsidRPr="00474504">
        <w:rPr>
          <w:rFonts w:eastAsia="Times New Roman" w:cs="Arial"/>
          <w:lang w:val="en-AU"/>
        </w:rPr>
        <w:t xml:space="preserve">The second boost will be equal to the full amount of the first boost to which the entity was entitled. </w:t>
      </w:r>
    </w:p>
    <w:p w14:paraId="4F378DB7" w14:textId="77777777" w:rsidR="005440D1" w:rsidRPr="00474504" w:rsidRDefault="005440D1" w:rsidP="005440D1">
      <w:pPr>
        <w:spacing w:before="0" w:after="200" w:line="276" w:lineRule="auto"/>
        <w:ind w:right="133"/>
        <w:rPr>
          <w:rFonts w:eastAsia="Times New Roman" w:cs="Arial"/>
          <w:lang w:val="en-AU"/>
        </w:rPr>
      </w:pPr>
      <w:r w:rsidRPr="00474504">
        <w:rPr>
          <w:rFonts w:eastAsia="Times New Roman" w:cs="Arial"/>
          <w:lang w:val="en-AU"/>
        </w:rPr>
        <w:t xml:space="preserve">The second boost is available to all entities that received the first boost, provided the entity lodges an activity statement for the tax periods from June 2020 to September 2020.  </w:t>
      </w:r>
    </w:p>
    <w:p w14:paraId="21447F06" w14:textId="77777777" w:rsidR="005440D1" w:rsidRPr="00474504" w:rsidRDefault="005440D1" w:rsidP="005440D1">
      <w:pPr>
        <w:spacing w:before="0" w:after="0" w:line="276" w:lineRule="auto"/>
        <w:ind w:right="133"/>
        <w:rPr>
          <w:rFonts w:eastAsia="Times New Roman" w:cs="Arial"/>
          <w:lang w:val="en-AU"/>
        </w:rPr>
      </w:pPr>
      <w:r w:rsidRPr="00474504">
        <w:rPr>
          <w:rFonts w:eastAsia="Times New Roman" w:cs="Arial"/>
          <w:lang w:val="en-AU"/>
        </w:rPr>
        <w:t>The second boost is not subject to:</w:t>
      </w:r>
    </w:p>
    <w:p w14:paraId="5BC9BEFA" w14:textId="1DE03ACD" w:rsidR="005440D1" w:rsidRPr="00474504" w:rsidRDefault="005440D1" w:rsidP="005440D1">
      <w:pPr>
        <w:numPr>
          <w:ilvl w:val="0"/>
          <w:numId w:val="31"/>
        </w:numPr>
        <w:spacing w:before="0" w:after="0" w:line="276" w:lineRule="auto"/>
        <w:ind w:right="133"/>
        <w:contextualSpacing/>
        <w:rPr>
          <w:rFonts w:eastAsia="Times New Roman" w:cs="Arial"/>
          <w:lang w:val="en-AU"/>
        </w:rPr>
      </w:pPr>
      <w:r w:rsidRPr="00474504">
        <w:rPr>
          <w:rFonts w:eastAsia="Times New Roman" w:cs="Arial"/>
          <w:lang w:val="en-AU"/>
        </w:rPr>
        <w:t>the minimum payment of $10,000</w:t>
      </w:r>
      <w:r w:rsidR="002E09B0">
        <w:rPr>
          <w:rFonts w:eastAsia="Times New Roman" w:cs="Arial"/>
          <w:lang w:val="en-AU"/>
        </w:rPr>
        <w:t>,</w:t>
      </w:r>
      <w:r w:rsidRPr="00474504">
        <w:rPr>
          <w:rFonts w:eastAsia="Times New Roman" w:cs="Arial"/>
          <w:lang w:val="en-AU"/>
        </w:rPr>
        <w:t xml:space="preserve"> or </w:t>
      </w:r>
    </w:p>
    <w:p w14:paraId="65B066B1" w14:textId="3E3C84B1" w:rsidR="005440D1" w:rsidRDefault="005440D1" w:rsidP="005440D1">
      <w:pPr>
        <w:numPr>
          <w:ilvl w:val="0"/>
          <w:numId w:val="31"/>
        </w:numPr>
        <w:spacing w:before="0" w:after="0" w:line="276" w:lineRule="auto"/>
        <w:ind w:right="133"/>
        <w:contextualSpacing/>
        <w:rPr>
          <w:rFonts w:eastAsia="Times New Roman" w:cs="Arial"/>
          <w:lang w:val="en-AU"/>
        </w:rPr>
      </w:pPr>
      <w:r w:rsidRPr="00474504">
        <w:rPr>
          <w:rFonts w:eastAsia="Times New Roman" w:cs="Arial"/>
          <w:lang w:val="en-AU"/>
        </w:rPr>
        <w:t>the cap that applies to the first boost (</w:t>
      </w:r>
      <w:r w:rsidR="002E09B0">
        <w:rPr>
          <w:rFonts w:eastAsia="Times New Roman" w:cs="Arial"/>
          <w:lang w:val="en-AU"/>
        </w:rPr>
        <w:t>that is,</w:t>
      </w:r>
      <w:r w:rsidRPr="00474504">
        <w:rPr>
          <w:rFonts w:eastAsia="Times New Roman" w:cs="Arial"/>
          <w:lang w:val="en-AU"/>
        </w:rPr>
        <w:t xml:space="preserve"> $50,000). </w:t>
      </w:r>
    </w:p>
    <w:p w14:paraId="3B608764" w14:textId="77777777" w:rsidR="005440D1" w:rsidRPr="00474504" w:rsidRDefault="005440D1" w:rsidP="005440D1">
      <w:pPr>
        <w:spacing w:before="0" w:after="0" w:line="276" w:lineRule="auto"/>
        <w:ind w:left="720" w:right="133"/>
        <w:contextualSpacing/>
        <w:rPr>
          <w:rFonts w:eastAsia="Times New Roman" w:cs="Arial"/>
          <w:lang w:val="en-AU"/>
        </w:rPr>
      </w:pPr>
    </w:p>
    <w:p w14:paraId="0136E12C" w14:textId="77777777" w:rsidR="005440D1" w:rsidRPr="00474504" w:rsidRDefault="005440D1" w:rsidP="005440D1">
      <w:pPr>
        <w:spacing w:before="0" w:after="200" w:line="276" w:lineRule="auto"/>
        <w:ind w:right="133"/>
        <w:rPr>
          <w:rFonts w:eastAsia="Times New Roman" w:cs="Arial"/>
          <w:lang w:val="en-AU"/>
        </w:rPr>
      </w:pPr>
      <w:r w:rsidRPr="00474504">
        <w:rPr>
          <w:rFonts w:eastAsia="Times New Roman" w:cs="Arial"/>
          <w:lang w:val="en-AU"/>
        </w:rPr>
        <w:t>While there is no minimum amount or cap on the second boost, it is inherently capped because it is equal to the first boost, which will be at least $10,000 and cannot exceed $50,000.</w:t>
      </w:r>
    </w:p>
    <w:tbl>
      <w:tblPr>
        <w:tblStyle w:val="TableGrid"/>
        <w:tblW w:w="9808" w:type="dxa"/>
        <w:tblLook w:val="04A0" w:firstRow="1" w:lastRow="0" w:firstColumn="1" w:lastColumn="0" w:noHBand="0" w:noVBand="1"/>
      </w:tblPr>
      <w:tblGrid>
        <w:gridCol w:w="1903"/>
        <w:gridCol w:w="5519"/>
        <w:gridCol w:w="2386"/>
      </w:tblGrid>
      <w:tr w:rsidR="005440D1" w:rsidRPr="00474504" w14:paraId="7753ABF3" w14:textId="77777777" w:rsidTr="008B2A86">
        <w:trPr>
          <w:trHeight w:val="369"/>
        </w:trPr>
        <w:tc>
          <w:tcPr>
            <w:tcW w:w="1903" w:type="dxa"/>
            <w:vAlign w:val="center"/>
          </w:tcPr>
          <w:p w14:paraId="3169004B" w14:textId="77777777" w:rsidR="005440D1" w:rsidRPr="00474504" w:rsidRDefault="005440D1" w:rsidP="008B2A86">
            <w:pPr>
              <w:spacing w:before="0" w:after="0"/>
              <w:ind w:right="133"/>
              <w:jc w:val="center"/>
              <w:rPr>
                <w:rFonts w:cs="Arial"/>
                <w:b/>
                <w:sz w:val="20"/>
                <w:szCs w:val="20"/>
                <w:lang w:val="en-AU"/>
              </w:rPr>
            </w:pPr>
            <w:r w:rsidRPr="00474504">
              <w:rPr>
                <w:rFonts w:cs="Arial"/>
                <w:b/>
                <w:sz w:val="20"/>
                <w:szCs w:val="20"/>
                <w:lang w:val="en-AU"/>
              </w:rPr>
              <w:lastRenderedPageBreak/>
              <w:t>Type of lodger</w:t>
            </w:r>
          </w:p>
        </w:tc>
        <w:tc>
          <w:tcPr>
            <w:tcW w:w="5519" w:type="dxa"/>
            <w:vAlign w:val="center"/>
          </w:tcPr>
          <w:p w14:paraId="243D16A4" w14:textId="32BB5950" w:rsidR="005440D1" w:rsidRPr="00474504" w:rsidRDefault="005440D1" w:rsidP="008B2A86">
            <w:pPr>
              <w:spacing w:before="0" w:after="0"/>
              <w:ind w:right="133"/>
              <w:jc w:val="center"/>
              <w:rPr>
                <w:rFonts w:cs="Arial"/>
                <w:b/>
                <w:sz w:val="20"/>
                <w:szCs w:val="20"/>
                <w:lang w:val="en-AU"/>
              </w:rPr>
            </w:pPr>
            <w:r w:rsidRPr="00474504">
              <w:rPr>
                <w:rFonts w:cs="Arial"/>
                <w:b/>
                <w:sz w:val="20"/>
                <w:szCs w:val="20"/>
                <w:lang w:val="en-AU"/>
              </w:rPr>
              <w:t xml:space="preserve">Eligible boost </w:t>
            </w:r>
            <w:r w:rsidR="002E09B0">
              <w:rPr>
                <w:rFonts w:cs="Arial"/>
                <w:b/>
                <w:sz w:val="20"/>
                <w:szCs w:val="20"/>
                <w:lang w:val="en-AU"/>
              </w:rPr>
              <w:t>p</w:t>
            </w:r>
            <w:r w:rsidRPr="00474504">
              <w:rPr>
                <w:rFonts w:cs="Arial"/>
                <w:b/>
                <w:sz w:val="20"/>
                <w:szCs w:val="20"/>
                <w:lang w:val="en-AU"/>
              </w:rPr>
              <w:t>eriod</w:t>
            </w:r>
          </w:p>
        </w:tc>
        <w:tc>
          <w:tcPr>
            <w:tcW w:w="2386" w:type="dxa"/>
            <w:vAlign w:val="center"/>
          </w:tcPr>
          <w:p w14:paraId="569A44F1" w14:textId="2BDEBB99" w:rsidR="005440D1" w:rsidRPr="00474504" w:rsidRDefault="005440D1" w:rsidP="008B2A86">
            <w:pPr>
              <w:spacing w:before="0" w:after="0"/>
              <w:ind w:right="133"/>
              <w:jc w:val="center"/>
              <w:rPr>
                <w:rFonts w:cs="Arial"/>
                <w:b/>
                <w:sz w:val="20"/>
                <w:szCs w:val="20"/>
                <w:lang w:val="en-AU"/>
              </w:rPr>
            </w:pPr>
            <w:r w:rsidRPr="00474504">
              <w:rPr>
                <w:rFonts w:cs="Arial"/>
                <w:b/>
                <w:sz w:val="20"/>
                <w:szCs w:val="20"/>
                <w:lang w:val="en-AU"/>
              </w:rPr>
              <w:t xml:space="preserve">Lodgement </w:t>
            </w:r>
            <w:r w:rsidR="002E09B0">
              <w:rPr>
                <w:rFonts w:cs="Arial"/>
                <w:b/>
                <w:sz w:val="20"/>
                <w:szCs w:val="20"/>
                <w:lang w:val="en-AU"/>
              </w:rPr>
              <w:t>d</w:t>
            </w:r>
            <w:r w:rsidRPr="00474504">
              <w:rPr>
                <w:rFonts w:cs="Arial"/>
                <w:b/>
                <w:sz w:val="20"/>
                <w:szCs w:val="20"/>
                <w:lang w:val="en-AU"/>
              </w:rPr>
              <w:t xml:space="preserve">ue </w:t>
            </w:r>
            <w:r w:rsidR="002E09B0">
              <w:rPr>
                <w:rFonts w:cs="Arial"/>
                <w:b/>
                <w:sz w:val="20"/>
                <w:szCs w:val="20"/>
                <w:lang w:val="en-AU"/>
              </w:rPr>
              <w:t>d</w:t>
            </w:r>
            <w:r w:rsidRPr="00474504">
              <w:rPr>
                <w:rFonts w:cs="Arial"/>
                <w:b/>
                <w:sz w:val="20"/>
                <w:szCs w:val="20"/>
                <w:lang w:val="en-AU"/>
              </w:rPr>
              <w:t>ate</w:t>
            </w:r>
          </w:p>
        </w:tc>
      </w:tr>
      <w:tr w:rsidR="005440D1" w:rsidRPr="00474504" w14:paraId="70F384A2" w14:textId="77777777" w:rsidTr="008B2A86">
        <w:trPr>
          <w:trHeight w:val="730"/>
        </w:trPr>
        <w:tc>
          <w:tcPr>
            <w:tcW w:w="1903" w:type="dxa"/>
          </w:tcPr>
          <w:p w14:paraId="5ABC7C81" w14:textId="77777777" w:rsidR="005440D1" w:rsidRPr="00474504" w:rsidRDefault="005440D1" w:rsidP="008B2A86">
            <w:pPr>
              <w:spacing w:before="0" w:after="0"/>
              <w:ind w:right="133"/>
              <w:rPr>
                <w:rFonts w:cs="Arial"/>
                <w:b/>
                <w:sz w:val="20"/>
                <w:szCs w:val="20"/>
                <w:lang w:val="en-AU"/>
              </w:rPr>
            </w:pPr>
            <w:r w:rsidRPr="00474504">
              <w:rPr>
                <w:rFonts w:cs="Arial"/>
                <w:b/>
                <w:sz w:val="20"/>
                <w:szCs w:val="20"/>
                <w:lang w:val="en-AU"/>
              </w:rPr>
              <w:t>Quarterly</w:t>
            </w:r>
            <w:r w:rsidRPr="00474504">
              <w:rPr>
                <w:rFonts w:cs="Arial"/>
                <w:b/>
                <w:sz w:val="20"/>
                <w:szCs w:val="20"/>
                <w:lang w:val="en-AU"/>
              </w:rPr>
              <w:br/>
              <w:t>2020-21</w:t>
            </w:r>
          </w:p>
        </w:tc>
        <w:tc>
          <w:tcPr>
            <w:tcW w:w="5519" w:type="dxa"/>
          </w:tcPr>
          <w:p w14:paraId="2774EEB6" w14:textId="77777777" w:rsidR="005440D1" w:rsidRPr="00474504" w:rsidRDefault="005440D1" w:rsidP="008B2A86">
            <w:pPr>
              <w:spacing w:before="0" w:after="0"/>
              <w:ind w:right="133"/>
              <w:rPr>
                <w:rFonts w:cs="Arial"/>
                <w:sz w:val="20"/>
                <w:szCs w:val="20"/>
                <w:lang w:val="en-AU"/>
              </w:rPr>
            </w:pPr>
            <w:r w:rsidRPr="00474504">
              <w:rPr>
                <w:rFonts w:cs="Arial"/>
                <w:b/>
                <w:sz w:val="20"/>
                <w:szCs w:val="20"/>
                <w:lang w:val="en-AU"/>
              </w:rPr>
              <w:t>Quarter 4</w:t>
            </w:r>
            <w:r w:rsidRPr="00474504">
              <w:rPr>
                <w:rFonts w:cs="Arial"/>
                <w:sz w:val="20"/>
                <w:szCs w:val="20"/>
                <w:lang w:val="en-AU"/>
              </w:rPr>
              <w:t xml:space="preserve"> — April, May and June 2020</w:t>
            </w:r>
          </w:p>
          <w:p w14:paraId="4BF67211" w14:textId="77777777" w:rsidR="005440D1" w:rsidRPr="00474504" w:rsidRDefault="005440D1" w:rsidP="008B2A86">
            <w:pPr>
              <w:spacing w:before="0" w:after="0"/>
              <w:ind w:right="133"/>
              <w:rPr>
                <w:rFonts w:cs="Arial"/>
                <w:sz w:val="20"/>
                <w:szCs w:val="20"/>
                <w:lang w:val="en-AU"/>
              </w:rPr>
            </w:pPr>
            <w:r w:rsidRPr="00474504">
              <w:rPr>
                <w:rFonts w:cs="Arial"/>
                <w:b/>
                <w:sz w:val="20"/>
                <w:szCs w:val="20"/>
                <w:lang w:val="en-AU"/>
              </w:rPr>
              <w:t>Quarter 1</w:t>
            </w:r>
            <w:r w:rsidRPr="00474504">
              <w:rPr>
                <w:rFonts w:cs="Arial"/>
                <w:sz w:val="20"/>
                <w:szCs w:val="20"/>
                <w:lang w:val="en-AU"/>
              </w:rPr>
              <w:t xml:space="preserve"> — July, August and September 2020</w:t>
            </w:r>
          </w:p>
        </w:tc>
        <w:tc>
          <w:tcPr>
            <w:tcW w:w="2386" w:type="dxa"/>
          </w:tcPr>
          <w:p w14:paraId="5C31099C" w14:textId="77777777" w:rsidR="005440D1" w:rsidRPr="00474504" w:rsidRDefault="005440D1" w:rsidP="008B2A86">
            <w:pPr>
              <w:spacing w:before="0" w:after="0"/>
              <w:ind w:right="133"/>
              <w:rPr>
                <w:rFonts w:cs="Arial"/>
                <w:sz w:val="20"/>
                <w:szCs w:val="20"/>
                <w:lang w:val="en-AU"/>
              </w:rPr>
            </w:pPr>
            <w:r w:rsidRPr="00474504">
              <w:rPr>
                <w:rFonts w:cs="Arial"/>
                <w:sz w:val="20"/>
                <w:szCs w:val="20"/>
                <w:lang w:val="en-AU"/>
              </w:rPr>
              <w:t>28 July 2020</w:t>
            </w:r>
          </w:p>
          <w:p w14:paraId="604A8042" w14:textId="77777777" w:rsidR="005440D1" w:rsidRPr="00474504" w:rsidRDefault="005440D1" w:rsidP="008B2A86">
            <w:pPr>
              <w:spacing w:before="0" w:after="0"/>
              <w:ind w:right="133"/>
              <w:rPr>
                <w:rFonts w:cs="Arial"/>
                <w:sz w:val="20"/>
                <w:szCs w:val="20"/>
                <w:lang w:val="en-AU"/>
              </w:rPr>
            </w:pPr>
            <w:r w:rsidRPr="00474504">
              <w:rPr>
                <w:rFonts w:cs="Arial"/>
                <w:sz w:val="20"/>
                <w:szCs w:val="20"/>
                <w:lang w:val="en-AU"/>
              </w:rPr>
              <w:t>28 October 2020</w:t>
            </w:r>
          </w:p>
          <w:p w14:paraId="252754F8" w14:textId="77777777" w:rsidR="005440D1" w:rsidRPr="00474504" w:rsidRDefault="005440D1" w:rsidP="008B2A86">
            <w:pPr>
              <w:spacing w:before="0" w:after="0"/>
              <w:ind w:right="133"/>
              <w:rPr>
                <w:rFonts w:cs="Arial"/>
                <w:sz w:val="20"/>
                <w:szCs w:val="20"/>
                <w:lang w:val="en-AU"/>
              </w:rPr>
            </w:pPr>
          </w:p>
        </w:tc>
      </w:tr>
      <w:tr w:rsidR="005440D1" w:rsidRPr="00474504" w14:paraId="06D7064D" w14:textId="77777777" w:rsidTr="008B2A86">
        <w:trPr>
          <w:trHeight w:val="909"/>
        </w:trPr>
        <w:tc>
          <w:tcPr>
            <w:tcW w:w="1903" w:type="dxa"/>
          </w:tcPr>
          <w:p w14:paraId="729C877C" w14:textId="77777777" w:rsidR="005440D1" w:rsidRPr="00474504" w:rsidRDefault="005440D1" w:rsidP="008B2A86">
            <w:pPr>
              <w:spacing w:before="0" w:after="0"/>
              <w:ind w:right="133"/>
              <w:rPr>
                <w:rFonts w:cs="Arial"/>
                <w:b/>
                <w:sz w:val="20"/>
                <w:szCs w:val="20"/>
                <w:lang w:val="en-AU"/>
              </w:rPr>
            </w:pPr>
            <w:r w:rsidRPr="00474504">
              <w:rPr>
                <w:rFonts w:cs="Arial"/>
                <w:b/>
                <w:sz w:val="20"/>
                <w:szCs w:val="20"/>
                <w:lang w:val="en-AU"/>
              </w:rPr>
              <w:t>Monthly</w:t>
            </w:r>
          </w:p>
        </w:tc>
        <w:tc>
          <w:tcPr>
            <w:tcW w:w="5519" w:type="dxa"/>
          </w:tcPr>
          <w:p w14:paraId="7A069216" w14:textId="77777777" w:rsidR="005440D1" w:rsidRPr="00474504" w:rsidRDefault="005440D1" w:rsidP="008B2A86">
            <w:pPr>
              <w:spacing w:before="0" w:after="0"/>
              <w:ind w:right="133"/>
              <w:rPr>
                <w:rFonts w:cs="Arial"/>
                <w:sz w:val="20"/>
                <w:szCs w:val="20"/>
                <w:lang w:val="en-AU"/>
              </w:rPr>
            </w:pPr>
            <w:r w:rsidRPr="00474504">
              <w:rPr>
                <w:rFonts w:cs="Arial"/>
                <w:b/>
                <w:sz w:val="20"/>
                <w:szCs w:val="20"/>
                <w:lang w:val="en-AU"/>
              </w:rPr>
              <w:t>June</w:t>
            </w:r>
            <w:r w:rsidRPr="00474504">
              <w:rPr>
                <w:rFonts w:cs="Arial"/>
                <w:sz w:val="20"/>
                <w:szCs w:val="20"/>
                <w:lang w:val="en-AU"/>
              </w:rPr>
              <w:t xml:space="preserve"> 2020</w:t>
            </w:r>
          </w:p>
          <w:p w14:paraId="691F4183" w14:textId="77777777" w:rsidR="005440D1" w:rsidRPr="00474504" w:rsidRDefault="005440D1" w:rsidP="008B2A86">
            <w:pPr>
              <w:spacing w:before="0" w:after="0"/>
              <w:ind w:right="133"/>
              <w:rPr>
                <w:rFonts w:cs="Arial"/>
                <w:sz w:val="20"/>
                <w:szCs w:val="20"/>
                <w:lang w:val="en-AU"/>
              </w:rPr>
            </w:pPr>
            <w:r w:rsidRPr="00474504">
              <w:rPr>
                <w:rFonts w:cs="Arial"/>
                <w:b/>
                <w:sz w:val="20"/>
                <w:szCs w:val="20"/>
                <w:lang w:val="en-AU"/>
              </w:rPr>
              <w:t>July</w:t>
            </w:r>
            <w:r w:rsidRPr="00474504">
              <w:rPr>
                <w:rFonts w:cs="Arial"/>
                <w:sz w:val="20"/>
                <w:szCs w:val="20"/>
                <w:lang w:val="en-AU"/>
              </w:rPr>
              <w:t xml:space="preserve"> 2020 </w:t>
            </w:r>
          </w:p>
          <w:p w14:paraId="6F21319A" w14:textId="77777777" w:rsidR="005440D1" w:rsidRPr="00474504" w:rsidRDefault="005440D1" w:rsidP="008B2A86">
            <w:pPr>
              <w:spacing w:before="0" w:after="0"/>
              <w:ind w:right="133"/>
              <w:rPr>
                <w:rFonts w:cs="Arial"/>
                <w:sz w:val="20"/>
                <w:szCs w:val="20"/>
                <w:lang w:val="en-AU"/>
              </w:rPr>
            </w:pPr>
            <w:r w:rsidRPr="00474504">
              <w:rPr>
                <w:rFonts w:cs="Arial"/>
                <w:b/>
                <w:sz w:val="20"/>
                <w:szCs w:val="20"/>
                <w:lang w:val="en-AU"/>
              </w:rPr>
              <w:t>August</w:t>
            </w:r>
            <w:r w:rsidRPr="00474504">
              <w:rPr>
                <w:rFonts w:cs="Arial"/>
                <w:sz w:val="20"/>
                <w:szCs w:val="20"/>
                <w:lang w:val="en-AU"/>
              </w:rPr>
              <w:t xml:space="preserve"> 2020 </w:t>
            </w:r>
          </w:p>
          <w:p w14:paraId="6778DA2D" w14:textId="77777777" w:rsidR="005440D1" w:rsidRPr="00474504" w:rsidRDefault="005440D1" w:rsidP="008B2A86">
            <w:pPr>
              <w:spacing w:before="0" w:after="0"/>
              <w:ind w:right="133"/>
              <w:rPr>
                <w:rFonts w:cs="Arial"/>
                <w:sz w:val="20"/>
                <w:szCs w:val="20"/>
                <w:lang w:val="en-AU"/>
              </w:rPr>
            </w:pPr>
            <w:r w:rsidRPr="00474504">
              <w:rPr>
                <w:rFonts w:cs="Arial"/>
                <w:b/>
                <w:sz w:val="20"/>
                <w:szCs w:val="20"/>
                <w:lang w:val="en-AU"/>
              </w:rPr>
              <w:t>September</w:t>
            </w:r>
            <w:r w:rsidRPr="00474504">
              <w:rPr>
                <w:rFonts w:cs="Arial"/>
                <w:sz w:val="20"/>
                <w:szCs w:val="20"/>
                <w:lang w:val="en-AU"/>
              </w:rPr>
              <w:t xml:space="preserve"> 2020 </w:t>
            </w:r>
          </w:p>
          <w:p w14:paraId="2256ECA8" w14:textId="77777777" w:rsidR="005440D1" w:rsidRPr="00474504" w:rsidRDefault="005440D1" w:rsidP="008B2A86">
            <w:pPr>
              <w:spacing w:before="0" w:after="0"/>
              <w:ind w:right="133"/>
              <w:jc w:val="center"/>
              <w:rPr>
                <w:rFonts w:cs="Arial"/>
                <w:sz w:val="20"/>
                <w:szCs w:val="20"/>
                <w:lang w:val="en-AU"/>
              </w:rPr>
            </w:pPr>
          </w:p>
        </w:tc>
        <w:tc>
          <w:tcPr>
            <w:tcW w:w="2386" w:type="dxa"/>
          </w:tcPr>
          <w:p w14:paraId="7BC1A99E" w14:textId="77777777" w:rsidR="005440D1" w:rsidRPr="00474504" w:rsidRDefault="005440D1" w:rsidP="008B2A86">
            <w:pPr>
              <w:spacing w:before="0" w:after="0"/>
              <w:ind w:right="133"/>
              <w:rPr>
                <w:rFonts w:cs="Arial"/>
                <w:sz w:val="20"/>
                <w:szCs w:val="20"/>
                <w:lang w:val="en-AU"/>
              </w:rPr>
            </w:pPr>
            <w:r w:rsidRPr="00474504">
              <w:rPr>
                <w:rFonts w:cs="Arial"/>
                <w:sz w:val="20"/>
                <w:szCs w:val="20"/>
                <w:lang w:val="en-AU"/>
              </w:rPr>
              <w:t>21 July 2020</w:t>
            </w:r>
          </w:p>
          <w:p w14:paraId="4F950244" w14:textId="77777777" w:rsidR="005440D1" w:rsidRPr="00474504" w:rsidRDefault="005440D1" w:rsidP="008B2A86">
            <w:pPr>
              <w:spacing w:before="0" w:after="0"/>
              <w:ind w:right="133"/>
              <w:rPr>
                <w:rFonts w:cs="Arial"/>
                <w:sz w:val="20"/>
                <w:szCs w:val="20"/>
                <w:lang w:val="en-AU"/>
              </w:rPr>
            </w:pPr>
            <w:r w:rsidRPr="00474504">
              <w:rPr>
                <w:rFonts w:cs="Arial"/>
                <w:sz w:val="20"/>
                <w:szCs w:val="20"/>
                <w:lang w:val="en-AU"/>
              </w:rPr>
              <w:t>21 August 2020</w:t>
            </w:r>
          </w:p>
          <w:p w14:paraId="2284CBE3" w14:textId="77777777" w:rsidR="005440D1" w:rsidRPr="00474504" w:rsidRDefault="005440D1" w:rsidP="008B2A86">
            <w:pPr>
              <w:spacing w:before="0" w:after="0"/>
              <w:ind w:right="133"/>
              <w:rPr>
                <w:rFonts w:cs="Arial"/>
                <w:sz w:val="20"/>
                <w:szCs w:val="20"/>
                <w:lang w:val="en-AU"/>
              </w:rPr>
            </w:pPr>
            <w:r w:rsidRPr="00474504">
              <w:rPr>
                <w:rFonts w:cs="Arial"/>
                <w:sz w:val="20"/>
                <w:szCs w:val="20"/>
                <w:lang w:val="en-AU"/>
              </w:rPr>
              <w:t>21 September 2020</w:t>
            </w:r>
          </w:p>
          <w:p w14:paraId="5B8E8D7E" w14:textId="77777777" w:rsidR="005440D1" w:rsidRPr="00474504" w:rsidRDefault="005440D1" w:rsidP="008B2A86">
            <w:pPr>
              <w:spacing w:before="0" w:after="0"/>
              <w:ind w:right="133"/>
              <w:rPr>
                <w:rFonts w:cs="Arial"/>
                <w:sz w:val="20"/>
                <w:szCs w:val="20"/>
                <w:lang w:val="en-AU"/>
              </w:rPr>
            </w:pPr>
            <w:r w:rsidRPr="00474504">
              <w:rPr>
                <w:rFonts w:cs="Arial"/>
                <w:sz w:val="20"/>
                <w:szCs w:val="20"/>
                <w:lang w:val="en-AU"/>
              </w:rPr>
              <w:t>21 October 2020</w:t>
            </w:r>
          </w:p>
        </w:tc>
      </w:tr>
    </w:tbl>
    <w:p w14:paraId="02195E31" w14:textId="77777777" w:rsidR="005440D1" w:rsidRDefault="005440D1" w:rsidP="005440D1">
      <w:pPr>
        <w:spacing w:before="0" w:after="200" w:line="276" w:lineRule="auto"/>
        <w:ind w:right="133"/>
        <w:rPr>
          <w:rFonts w:eastAsia="MS Gothic"/>
          <w:b/>
          <w:bCs/>
          <w:color w:val="21314D"/>
        </w:rPr>
      </w:pPr>
    </w:p>
    <w:p w14:paraId="223F2358" w14:textId="77777777" w:rsidR="005440D1" w:rsidRPr="00964C87" w:rsidRDefault="005440D1" w:rsidP="005440D1">
      <w:pPr>
        <w:spacing w:before="0" w:after="200" w:line="276" w:lineRule="auto"/>
        <w:ind w:right="133"/>
        <w:rPr>
          <w:rFonts w:eastAsia="MS Gothic"/>
          <w:b/>
          <w:bCs/>
          <w:color w:val="21314D"/>
          <w:sz w:val="28"/>
          <w:szCs w:val="28"/>
        </w:rPr>
      </w:pPr>
      <w:r w:rsidRPr="00964C87">
        <w:rPr>
          <w:rFonts w:eastAsia="MS Gothic"/>
          <w:b/>
          <w:bCs/>
          <w:color w:val="21314D"/>
          <w:sz w:val="28"/>
          <w:szCs w:val="28"/>
        </w:rPr>
        <w:t xml:space="preserve">Rules which apply to the second boost </w:t>
      </w:r>
    </w:p>
    <w:p w14:paraId="6B3B9A85" w14:textId="1ACF9E4C" w:rsidR="005440D1" w:rsidRPr="00474504" w:rsidRDefault="005440D1" w:rsidP="005440D1">
      <w:pPr>
        <w:spacing w:before="0" w:after="200" w:line="276" w:lineRule="auto"/>
        <w:ind w:right="133"/>
        <w:rPr>
          <w:rFonts w:eastAsia="Times New Roman" w:cs="Arial"/>
          <w:lang w:val="en-AU"/>
        </w:rPr>
      </w:pPr>
      <w:r w:rsidRPr="00474504">
        <w:rPr>
          <w:rFonts w:eastAsia="Times New Roman" w:cs="Arial"/>
          <w:lang w:val="en-AU"/>
        </w:rPr>
        <w:t>The second boost will be payable (</w:t>
      </w:r>
      <w:r w:rsidR="002E09B0">
        <w:rPr>
          <w:rFonts w:eastAsia="Times New Roman" w:cs="Arial"/>
          <w:lang w:val="en-AU"/>
        </w:rPr>
        <w:t>that is,</w:t>
      </w:r>
      <w:r w:rsidRPr="00474504">
        <w:rPr>
          <w:rFonts w:eastAsia="Times New Roman" w:cs="Arial"/>
          <w:lang w:val="en-AU"/>
        </w:rPr>
        <w:t xml:space="preserve"> credited) by the Commissioner following </w:t>
      </w:r>
      <w:proofErr w:type="spellStart"/>
      <w:r w:rsidRPr="00474504">
        <w:rPr>
          <w:rFonts w:eastAsia="Times New Roman" w:cs="Arial"/>
          <w:lang w:val="en-AU"/>
        </w:rPr>
        <w:t>lodgment</w:t>
      </w:r>
      <w:proofErr w:type="spellEnd"/>
      <w:r w:rsidRPr="00474504">
        <w:rPr>
          <w:rFonts w:eastAsia="Times New Roman" w:cs="Arial"/>
          <w:lang w:val="en-AU"/>
        </w:rPr>
        <w:t xml:space="preserve"> of the activity statement according to the following rules: </w:t>
      </w:r>
    </w:p>
    <w:p w14:paraId="68A3CFF5" w14:textId="77777777" w:rsidR="005440D1" w:rsidRPr="00474504" w:rsidRDefault="005440D1" w:rsidP="005440D1">
      <w:pPr>
        <w:spacing w:before="0" w:after="200" w:line="276" w:lineRule="auto"/>
        <w:ind w:right="133"/>
        <w:rPr>
          <w:rFonts w:eastAsia="Times New Roman" w:cs="Arial"/>
          <w:lang w:val="en-AU"/>
        </w:rPr>
      </w:pPr>
      <w:r w:rsidRPr="00474504">
        <w:rPr>
          <w:rFonts w:eastAsia="Times New Roman" w:cs="Arial"/>
          <w:lang w:val="en-AU"/>
        </w:rPr>
        <w:t xml:space="preserve">1. The Commissioner will not credit the second boost any earlier than the due date of the activity statement, however if the entity lodges the activity statement after the due date for </w:t>
      </w:r>
      <w:proofErr w:type="spellStart"/>
      <w:r w:rsidRPr="00474504">
        <w:rPr>
          <w:rFonts w:eastAsia="Times New Roman" w:cs="Arial"/>
          <w:lang w:val="en-AU"/>
        </w:rPr>
        <w:t>lodgment</w:t>
      </w:r>
      <w:proofErr w:type="spellEnd"/>
      <w:r w:rsidRPr="00474504">
        <w:rPr>
          <w:rFonts w:eastAsia="Times New Roman" w:cs="Arial"/>
          <w:lang w:val="en-AU"/>
        </w:rPr>
        <w:t>, the Commissioner will credit the second boost only once the activity statement is lodged.</w:t>
      </w:r>
    </w:p>
    <w:p w14:paraId="6F6DDCB7" w14:textId="77777777" w:rsidR="005440D1" w:rsidRPr="00474504" w:rsidRDefault="005440D1" w:rsidP="005440D1">
      <w:pPr>
        <w:spacing w:before="0" w:after="200" w:line="276" w:lineRule="auto"/>
        <w:ind w:right="133"/>
        <w:rPr>
          <w:rFonts w:eastAsia="Times New Roman" w:cs="Arial"/>
          <w:lang w:val="en-AU"/>
        </w:rPr>
      </w:pPr>
      <w:r w:rsidRPr="00474504">
        <w:rPr>
          <w:rFonts w:eastAsia="Times New Roman" w:cs="Arial"/>
          <w:lang w:val="en-AU"/>
        </w:rPr>
        <w:t xml:space="preserve">2. Entities eligible for the first boost will receive the second boost provided that it: </w:t>
      </w:r>
    </w:p>
    <w:p w14:paraId="64B95C34" w14:textId="29F8888D" w:rsidR="005440D1" w:rsidRPr="00474504" w:rsidRDefault="005440D1" w:rsidP="005440D1">
      <w:pPr>
        <w:numPr>
          <w:ilvl w:val="0"/>
          <w:numId w:val="32"/>
        </w:numPr>
        <w:spacing w:before="0" w:after="200" w:line="276" w:lineRule="auto"/>
        <w:ind w:right="133"/>
        <w:contextualSpacing/>
        <w:rPr>
          <w:rFonts w:eastAsia="Times New Roman" w:cs="Arial"/>
          <w:lang w:val="en-AU"/>
        </w:rPr>
      </w:pPr>
      <w:r w:rsidRPr="00474504">
        <w:rPr>
          <w:rFonts w:eastAsia="Times New Roman" w:cs="Arial"/>
          <w:lang w:val="en-AU"/>
        </w:rPr>
        <w:t>was active prior to 12 March 2020</w:t>
      </w:r>
    </w:p>
    <w:p w14:paraId="36131D52" w14:textId="3E9B52E1" w:rsidR="005440D1" w:rsidRPr="00474504" w:rsidRDefault="005440D1" w:rsidP="005440D1">
      <w:pPr>
        <w:numPr>
          <w:ilvl w:val="0"/>
          <w:numId w:val="32"/>
        </w:numPr>
        <w:spacing w:before="0" w:after="200" w:line="276" w:lineRule="auto"/>
        <w:ind w:right="133"/>
        <w:contextualSpacing/>
        <w:rPr>
          <w:rFonts w:eastAsia="Times New Roman" w:cs="Arial"/>
          <w:lang w:val="en-AU"/>
        </w:rPr>
      </w:pPr>
      <w:r w:rsidRPr="00474504">
        <w:rPr>
          <w:rFonts w:eastAsia="Times New Roman" w:cs="Arial"/>
          <w:lang w:val="en-AU"/>
        </w:rPr>
        <w:t>satisfies the integrity rule</w:t>
      </w:r>
      <w:r w:rsidR="002E09B0">
        <w:rPr>
          <w:rFonts w:eastAsia="Times New Roman" w:cs="Arial"/>
          <w:lang w:val="en-AU"/>
        </w:rPr>
        <w:t>, and</w:t>
      </w:r>
    </w:p>
    <w:p w14:paraId="165891E2" w14:textId="55605C7A" w:rsidR="005440D1" w:rsidRPr="00474504" w:rsidRDefault="005440D1" w:rsidP="005440D1">
      <w:pPr>
        <w:numPr>
          <w:ilvl w:val="0"/>
          <w:numId w:val="32"/>
        </w:numPr>
        <w:spacing w:before="0" w:after="200" w:line="276" w:lineRule="auto"/>
        <w:ind w:right="133"/>
        <w:contextualSpacing/>
        <w:rPr>
          <w:rFonts w:eastAsia="Times New Roman" w:cs="Arial"/>
          <w:lang w:val="en-AU"/>
        </w:rPr>
      </w:pPr>
      <w:r w:rsidRPr="00474504">
        <w:rPr>
          <w:rFonts w:eastAsia="Times New Roman" w:cs="Arial"/>
          <w:lang w:val="en-AU"/>
        </w:rPr>
        <w:t xml:space="preserve">notifies ATO of its entitlement — this means it must lodge activity statements for the period June 2020 to September 2020. </w:t>
      </w:r>
      <w:r w:rsidR="002E09B0">
        <w:rPr>
          <w:rFonts w:eastAsia="Times New Roman" w:cs="Arial"/>
          <w:lang w:val="en-AU"/>
        </w:rPr>
        <w:br/>
      </w:r>
    </w:p>
    <w:p w14:paraId="5EE13C54" w14:textId="67C74A6B" w:rsidR="005440D1" w:rsidRPr="00474504" w:rsidRDefault="005440D1" w:rsidP="005440D1">
      <w:pPr>
        <w:spacing w:before="0" w:after="200" w:line="276" w:lineRule="auto"/>
        <w:ind w:right="133"/>
        <w:rPr>
          <w:rFonts w:eastAsia="Times New Roman" w:cs="Arial"/>
          <w:lang w:val="en-AU"/>
        </w:rPr>
      </w:pPr>
      <w:r w:rsidRPr="00474504">
        <w:rPr>
          <w:rFonts w:eastAsia="Times New Roman" w:cs="Arial"/>
          <w:lang w:val="en-AU"/>
        </w:rPr>
        <w:t>3. The second boost is payable only once activity statements for the tax periods from June 2020 to September 2020 are lodged, but it is not based on the amounts reported in those activity statements. As stated above it is equal to the amount of the first boost.</w:t>
      </w:r>
    </w:p>
    <w:p w14:paraId="01D44952" w14:textId="77777777" w:rsidR="005440D1" w:rsidRPr="00474504" w:rsidRDefault="005440D1" w:rsidP="005440D1">
      <w:pPr>
        <w:spacing w:before="0" w:after="200" w:line="276" w:lineRule="auto"/>
        <w:ind w:right="133"/>
        <w:rPr>
          <w:rFonts w:eastAsia="Times New Roman" w:cs="Arial"/>
          <w:lang w:val="en-AU"/>
        </w:rPr>
      </w:pPr>
      <w:r w:rsidRPr="00474504">
        <w:rPr>
          <w:rFonts w:eastAsia="Times New Roman" w:cs="Arial"/>
          <w:lang w:val="en-AU"/>
        </w:rPr>
        <w:t xml:space="preserve">4. If the entity is: </w:t>
      </w:r>
    </w:p>
    <w:p w14:paraId="480D8A5B" w14:textId="637ECC0D" w:rsidR="005440D1" w:rsidRPr="00474504" w:rsidRDefault="005440D1" w:rsidP="005440D1">
      <w:pPr>
        <w:numPr>
          <w:ilvl w:val="0"/>
          <w:numId w:val="33"/>
        </w:numPr>
        <w:spacing w:before="0" w:after="200" w:line="276" w:lineRule="auto"/>
        <w:ind w:right="133"/>
        <w:contextualSpacing/>
        <w:rPr>
          <w:rFonts w:eastAsia="Times New Roman" w:cs="Arial"/>
          <w:lang w:val="en-AU"/>
        </w:rPr>
      </w:pPr>
      <w:r w:rsidRPr="00474504">
        <w:rPr>
          <w:rFonts w:eastAsia="Times New Roman" w:cs="Arial"/>
          <w:lang w:val="en-AU"/>
        </w:rPr>
        <w:t xml:space="preserve">a large or medium withholder — the second boost will be made in </w:t>
      </w:r>
      <w:r w:rsidRPr="00474504">
        <w:rPr>
          <w:rFonts w:eastAsia="Times New Roman" w:cs="Arial"/>
          <w:b/>
          <w:lang w:val="en-AU"/>
        </w:rPr>
        <w:t>four</w:t>
      </w:r>
      <w:r w:rsidRPr="00474504">
        <w:rPr>
          <w:rFonts w:eastAsia="Times New Roman" w:cs="Arial"/>
          <w:lang w:val="en-AU"/>
        </w:rPr>
        <w:t xml:space="preserve"> equal payments for the months of June 2020, July 2020, August 2020 and September 2020</w:t>
      </w:r>
    </w:p>
    <w:p w14:paraId="4A81AE69" w14:textId="77777777" w:rsidR="005440D1" w:rsidRPr="00474504" w:rsidRDefault="005440D1" w:rsidP="005440D1">
      <w:pPr>
        <w:numPr>
          <w:ilvl w:val="0"/>
          <w:numId w:val="33"/>
        </w:numPr>
        <w:spacing w:before="0" w:after="200" w:line="276" w:lineRule="auto"/>
        <w:ind w:right="133"/>
        <w:contextualSpacing/>
        <w:rPr>
          <w:rFonts w:eastAsia="Times New Roman" w:cs="Arial"/>
          <w:lang w:val="en-AU"/>
        </w:rPr>
      </w:pPr>
      <w:r w:rsidRPr="00474504">
        <w:rPr>
          <w:rFonts w:eastAsia="Times New Roman" w:cs="Arial"/>
          <w:lang w:val="en-AU"/>
        </w:rPr>
        <w:t xml:space="preserve">a small withholder — the second boost will be made in </w:t>
      </w:r>
      <w:r w:rsidRPr="00474504">
        <w:rPr>
          <w:rFonts w:eastAsia="Times New Roman" w:cs="Arial"/>
          <w:b/>
          <w:lang w:val="en-AU"/>
        </w:rPr>
        <w:t>two</w:t>
      </w:r>
      <w:r w:rsidRPr="00474504">
        <w:rPr>
          <w:rFonts w:eastAsia="Times New Roman" w:cs="Arial"/>
          <w:lang w:val="en-AU"/>
        </w:rPr>
        <w:t xml:space="preserve"> equal payments for the quarters ending June 2020 and September 2020.</w:t>
      </w:r>
    </w:p>
    <w:p w14:paraId="6A423921" w14:textId="77777777" w:rsidR="00B9341D" w:rsidRDefault="00B9341D" w:rsidP="005440D1">
      <w:pPr>
        <w:spacing w:before="0" w:after="200" w:line="276" w:lineRule="auto"/>
        <w:ind w:right="133"/>
        <w:rPr>
          <w:rFonts w:eastAsia="Times New Roman" w:cs="Arial"/>
          <w:lang w:val="en-AU"/>
        </w:rPr>
      </w:pPr>
    </w:p>
    <w:p w14:paraId="6E6E8FF6" w14:textId="77777777" w:rsidR="00B9341D" w:rsidRDefault="00B9341D" w:rsidP="005440D1">
      <w:pPr>
        <w:spacing w:before="0" w:after="200" w:line="276" w:lineRule="auto"/>
        <w:ind w:right="133"/>
        <w:rPr>
          <w:rFonts w:eastAsia="Times New Roman" w:cs="Arial"/>
          <w:lang w:val="en-AU"/>
        </w:rPr>
      </w:pPr>
    </w:p>
    <w:p w14:paraId="64FFAA5C" w14:textId="77777777" w:rsidR="00B9341D" w:rsidRDefault="00B9341D" w:rsidP="005440D1">
      <w:pPr>
        <w:spacing w:before="0" w:after="200" w:line="276" w:lineRule="auto"/>
        <w:ind w:right="133"/>
        <w:rPr>
          <w:rFonts w:eastAsia="Times New Roman" w:cs="Arial"/>
          <w:lang w:val="en-AU"/>
        </w:rPr>
      </w:pPr>
    </w:p>
    <w:p w14:paraId="4B70EA4C" w14:textId="77777777" w:rsidR="00B9341D" w:rsidRDefault="00B9341D" w:rsidP="005440D1">
      <w:pPr>
        <w:spacing w:before="0" w:after="200" w:line="276" w:lineRule="auto"/>
        <w:ind w:right="133"/>
        <w:rPr>
          <w:rFonts w:eastAsia="Times New Roman" w:cs="Arial"/>
          <w:lang w:val="en-AU"/>
        </w:rPr>
      </w:pPr>
    </w:p>
    <w:p w14:paraId="38DA222B" w14:textId="63630C45" w:rsidR="00B9341D" w:rsidRDefault="00B9341D" w:rsidP="005440D1">
      <w:pPr>
        <w:spacing w:before="0" w:after="200" w:line="276" w:lineRule="auto"/>
        <w:ind w:right="133"/>
        <w:rPr>
          <w:rFonts w:eastAsia="Times New Roman" w:cs="Arial"/>
          <w:lang w:val="en-AU"/>
        </w:rPr>
      </w:pPr>
    </w:p>
    <w:p w14:paraId="69DAA328" w14:textId="03B22B8C" w:rsidR="002E09B0" w:rsidRDefault="002E09B0" w:rsidP="005440D1">
      <w:pPr>
        <w:spacing w:before="0" w:after="200" w:line="276" w:lineRule="auto"/>
        <w:ind w:right="133"/>
        <w:rPr>
          <w:rFonts w:eastAsia="Times New Roman" w:cs="Arial"/>
          <w:lang w:val="en-AU"/>
        </w:rPr>
      </w:pPr>
    </w:p>
    <w:p w14:paraId="653D508E" w14:textId="7C48485A" w:rsidR="002E09B0" w:rsidRDefault="002E09B0" w:rsidP="005440D1">
      <w:pPr>
        <w:spacing w:before="0" w:after="200" w:line="276" w:lineRule="auto"/>
        <w:ind w:right="133"/>
        <w:rPr>
          <w:rFonts w:eastAsia="Times New Roman" w:cs="Arial"/>
          <w:lang w:val="en-AU"/>
        </w:rPr>
      </w:pPr>
    </w:p>
    <w:p w14:paraId="7C0C8CB1" w14:textId="087E6701" w:rsidR="002E09B0" w:rsidRDefault="002E09B0" w:rsidP="005440D1">
      <w:pPr>
        <w:spacing w:before="0" w:after="200" w:line="276" w:lineRule="auto"/>
        <w:ind w:right="133"/>
        <w:rPr>
          <w:rFonts w:eastAsia="Times New Roman" w:cs="Arial"/>
          <w:lang w:val="en-AU"/>
        </w:rPr>
      </w:pPr>
    </w:p>
    <w:p w14:paraId="744238D9" w14:textId="77777777" w:rsidR="002E09B0" w:rsidRDefault="002E09B0" w:rsidP="005440D1">
      <w:pPr>
        <w:spacing w:before="0" w:after="200" w:line="276" w:lineRule="auto"/>
        <w:ind w:right="133"/>
        <w:rPr>
          <w:rFonts w:eastAsia="Times New Roman" w:cs="Arial"/>
          <w:lang w:val="en-AU"/>
        </w:rPr>
      </w:pPr>
    </w:p>
    <w:p w14:paraId="58EF6511" w14:textId="77777777" w:rsidR="00B9341D" w:rsidRDefault="00B9341D" w:rsidP="005440D1">
      <w:pPr>
        <w:spacing w:before="0" w:after="200" w:line="276" w:lineRule="auto"/>
        <w:ind w:right="133"/>
        <w:rPr>
          <w:rFonts w:eastAsia="Times New Roman" w:cs="Arial"/>
          <w:lang w:val="en-AU"/>
        </w:rPr>
      </w:pPr>
    </w:p>
    <w:p w14:paraId="5A39C1BD" w14:textId="3E8DF707" w:rsidR="005440D1" w:rsidRPr="00474504" w:rsidRDefault="005440D1" w:rsidP="005440D1">
      <w:pPr>
        <w:spacing w:before="0" w:after="200" w:line="276" w:lineRule="auto"/>
        <w:ind w:right="133"/>
        <w:rPr>
          <w:rFonts w:eastAsia="Times New Roman" w:cs="Arial"/>
          <w:lang w:val="en-AU"/>
        </w:rPr>
      </w:pPr>
      <w:r w:rsidRPr="00474504">
        <w:rPr>
          <w:rFonts w:eastAsia="Times New Roman" w:cs="Arial"/>
          <w:lang w:val="en-AU"/>
        </w:rPr>
        <w:lastRenderedPageBreak/>
        <w:t xml:space="preserve">The following questions are intended to assess eligibility for the </w:t>
      </w:r>
      <w:r w:rsidR="002E09B0">
        <w:rPr>
          <w:rFonts w:eastAsia="Times New Roman" w:cs="Arial"/>
          <w:lang w:val="en-AU"/>
        </w:rPr>
        <w:t>c</w:t>
      </w:r>
      <w:r w:rsidRPr="00474504">
        <w:rPr>
          <w:rFonts w:eastAsia="Times New Roman" w:cs="Arial"/>
          <w:lang w:val="en-AU"/>
        </w:rPr>
        <w:t xml:space="preserve">ash </w:t>
      </w:r>
      <w:r w:rsidR="002E09B0">
        <w:rPr>
          <w:rFonts w:eastAsia="Times New Roman" w:cs="Arial"/>
          <w:lang w:val="en-AU"/>
        </w:rPr>
        <w:t>f</w:t>
      </w:r>
      <w:r w:rsidRPr="00474504">
        <w:rPr>
          <w:rFonts w:eastAsia="Times New Roman" w:cs="Arial"/>
          <w:lang w:val="en-AU"/>
        </w:rPr>
        <w:t xml:space="preserve">low </w:t>
      </w:r>
      <w:r w:rsidR="002E09B0">
        <w:rPr>
          <w:rFonts w:eastAsia="Times New Roman" w:cs="Arial"/>
          <w:lang w:val="en-AU"/>
        </w:rPr>
        <w:t>b</w:t>
      </w:r>
      <w:r w:rsidRPr="00474504">
        <w:rPr>
          <w:rFonts w:eastAsia="Times New Roman" w:cs="Arial"/>
          <w:lang w:val="en-AU"/>
        </w:rPr>
        <w:t>oost</w:t>
      </w:r>
      <w:r>
        <w:rPr>
          <w:rFonts w:eastAsia="Times New Roman" w:cs="Arial"/>
          <w:lang w:val="en-AU"/>
        </w:rPr>
        <w:t>.</w:t>
      </w:r>
    </w:p>
    <w:tbl>
      <w:tblPr>
        <w:tblStyle w:val="TableGrid"/>
        <w:tblW w:w="0" w:type="auto"/>
        <w:tblLook w:val="04A0" w:firstRow="1" w:lastRow="0" w:firstColumn="1" w:lastColumn="0" w:noHBand="0" w:noVBand="1"/>
      </w:tblPr>
      <w:tblGrid>
        <w:gridCol w:w="7508"/>
        <w:gridCol w:w="1276"/>
        <w:gridCol w:w="1322"/>
      </w:tblGrid>
      <w:tr w:rsidR="005440D1" w:rsidRPr="00474504" w14:paraId="11CB4A25" w14:textId="77777777" w:rsidTr="008B2A86">
        <w:trPr>
          <w:trHeight w:val="542"/>
        </w:trPr>
        <w:tc>
          <w:tcPr>
            <w:tcW w:w="10106" w:type="dxa"/>
            <w:gridSpan w:val="3"/>
            <w:vAlign w:val="center"/>
          </w:tcPr>
          <w:p w14:paraId="74CA5928" w14:textId="674A9371" w:rsidR="005440D1" w:rsidRPr="003221A2" w:rsidRDefault="005440D1" w:rsidP="005440D1">
            <w:pPr>
              <w:pStyle w:val="Heading2"/>
              <w:ind w:right="133"/>
              <w:jc w:val="center"/>
              <w:outlineLvl w:val="1"/>
              <w:rPr>
                <w:sz w:val="20"/>
                <w:szCs w:val="20"/>
                <w:lang w:val="en-AU"/>
              </w:rPr>
            </w:pPr>
            <w:r w:rsidRPr="005440D1">
              <w:rPr>
                <w:sz w:val="28"/>
                <w:szCs w:val="28"/>
                <w:lang w:val="en-AU"/>
              </w:rPr>
              <w:t xml:space="preserve">Eligibility </w:t>
            </w:r>
            <w:r w:rsidR="002E09B0">
              <w:rPr>
                <w:sz w:val="28"/>
                <w:szCs w:val="28"/>
                <w:lang w:val="en-AU"/>
              </w:rPr>
              <w:t>c</w:t>
            </w:r>
            <w:r w:rsidRPr="005440D1">
              <w:rPr>
                <w:sz w:val="28"/>
                <w:szCs w:val="28"/>
                <w:lang w:val="en-AU"/>
              </w:rPr>
              <w:t>riteria</w:t>
            </w:r>
          </w:p>
        </w:tc>
      </w:tr>
      <w:tr w:rsidR="005440D1" w:rsidRPr="00474504" w14:paraId="1E64F03B" w14:textId="77777777" w:rsidTr="008B2A86">
        <w:trPr>
          <w:trHeight w:val="542"/>
        </w:trPr>
        <w:tc>
          <w:tcPr>
            <w:tcW w:w="7508" w:type="dxa"/>
          </w:tcPr>
          <w:p w14:paraId="3EE83599" w14:textId="77777777" w:rsidR="005440D1" w:rsidRPr="00474504" w:rsidRDefault="005440D1" w:rsidP="008B2A86">
            <w:pPr>
              <w:spacing w:after="0"/>
              <w:ind w:right="133"/>
              <w:rPr>
                <w:rFonts w:cs="Arial"/>
                <w:b/>
                <w:sz w:val="20"/>
                <w:szCs w:val="20"/>
                <w:lang w:val="en-AU"/>
              </w:rPr>
            </w:pPr>
            <w:r w:rsidRPr="00474504">
              <w:rPr>
                <w:rFonts w:cs="Arial"/>
                <w:b/>
                <w:sz w:val="20"/>
                <w:szCs w:val="20"/>
                <w:lang w:val="en-AU"/>
              </w:rPr>
              <w:t xml:space="preserve">Conditions </w:t>
            </w:r>
          </w:p>
        </w:tc>
        <w:tc>
          <w:tcPr>
            <w:tcW w:w="1276" w:type="dxa"/>
            <w:vAlign w:val="center"/>
          </w:tcPr>
          <w:p w14:paraId="6D5D0559" w14:textId="77777777" w:rsidR="005440D1" w:rsidRPr="00474504" w:rsidRDefault="005440D1" w:rsidP="008B2A86">
            <w:pPr>
              <w:spacing w:before="0" w:after="0"/>
              <w:ind w:right="133"/>
              <w:jc w:val="center"/>
              <w:rPr>
                <w:rFonts w:cs="Arial"/>
                <w:sz w:val="20"/>
                <w:szCs w:val="20"/>
                <w:lang w:val="en-AU"/>
              </w:rPr>
            </w:pPr>
            <w:r w:rsidRPr="00474504">
              <w:rPr>
                <w:rFonts w:cs="Arial"/>
                <w:b/>
                <w:sz w:val="20"/>
                <w:szCs w:val="20"/>
                <w:lang w:val="en-AU"/>
              </w:rPr>
              <w:t>Yes</w:t>
            </w:r>
          </w:p>
        </w:tc>
        <w:tc>
          <w:tcPr>
            <w:tcW w:w="1322" w:type="dxa"/>
            <w:vAlign w:val="center"/>
          </w:tcPr>
          <w:p w14:paraId="24A30E36" w14:textId="77777777" w:rsidR="005440D1" w:rsidRPr="00474504" w:rsidRDefault="005440D1" w:rsidP="008B2A86">
            <w:pPr>
              <w:spacing w:before="0" w:after="0"/>
              <w:ind w:right="133"/>
              <w:jc w:val="center"/>
              <w:rPr>
                <w:rFonts w:cs="Arial"/>
                <w:sz w:val="20"/>
                <w:szCs w:val="20"/>
                <w:lang w:val="en-AU"/>
              </w:rPr>
            </w:pPr>
            <w:r w:rsidRPr="00474504">
              <w:rPr>
                <w:rFonts w:cs="Arial"/>
                <w:b/>
                <w:sz w:val="20"/>
                <w:szCs w:val="20"/>
                <w:lang w:val="en-AU"/>
              </w:rPr>
              <w:t>No</w:t>
            </w:r>
          </w:p>
        </w:tc>
      </w:tr>
      <w:tr w:rsidR="005440D1" w:rsidRPr="00474504" w14:paraId="0651E8BC" w14:textId="77777777" w:rsidTr="008B2A86">
        <w:trPr>
          <w:trHeight w:val="1238"/>
        </w:trPr>
        <w:tc>
          <w:tcPr>
            <w:tcW w:w="7508" w:type="dxa"/>
          </w:tcPr>
          <w:p w14:paraId="2160CD45" w14:textId="77777777" w:rsidR="005440D1" w:rsidRPr="00474504" w:rsidRDefault="005440D1" w:rsidP="008B2A86">
            <w:pPr>
              <w:spacing w:before="0" w:after="0"/>
              <w:ind w:right="133"/>
              <w:rPr>
                <w:rFonts w:cs="Arial"/>
                <w:b/>
                <w:sz w:val="20"/>
                <w:szCs w:val="20"/>
                <w:lang w:val="en-AU"/>
              </w:rPr>
            </w:pPr>
          </w:p>
          <w:p w14:paraId="19AF8EA2" w14:textId="77777777" w:rsidR="005440D1" w:rsidRPr="00474504" w:rsidRDefault="005440D1" w:rsidP="008B2A86">
            <w:pPr>
              <w:spacing w:before="0" w:after="0"/>
              <w:ind w:right="133"/>
              <w:rPr>
                <w:rFonts w:cs="Arial"/>
                <w:sz w:val="20"/>
                <w:szCs w:val="20"/>
                <w:lang w:val="en-AU"/>
              </w:rPr>
            </w:pPr>
            <w:r w:rsidRPr="00474504">
              <w:rPr>
                <w:rFonts w:cs="Arial"/>
                <w:b/>
                <w:sz w:val="20"/>
                <w:szCs w:val="20"/>
                <w:lang w:val="en-AU"/>
              </w:rPr>
              <w:t>Are you an SBE or MBE?</w:t>
            </w:r>
            <w:r w:rsidRPr="00474504">
              <w:rPr>
                <w:rFonts w:cs="Arial"/>
                <w:sz w:val="20"/>
                <w:szCs w:val="20"/>
                <w:lang w:val="en-AU"/>
              </w:rPr>
              <w:t xml:space="preserve"> </w:t>
            </w:r>
          </w:p>
          <w:p w14:paraId="7EFFAA06" w14:textId="5F0AACCC" w:rsidR="005440D1" w:rsidRPr="00474504" w:rsidRDefault="005440D1" w:rsidP="008B2A86">
            <w:pPr>
              <w:spacing w:before="0" w:after="0"/>
              <w:ind w:right="133"/>
              <w:rPr>
                <w:rFonts w:cs="Arial"/>
                <w:sz w:val="20"/>
                <w:szCs w:val="20"/>
                <w:lang w:val="en-AU"/>
              </w:rPr>
            </w:pPr>
            <w:r w:rsidRPr="00474504">
              <w:rPr>
                <w:rFonts w:cs="Arial"/>
                <w:sz w:val="20"/>
                <w:szCs w:val="20"/>
                <w:lang w:val="en-AU"/>
              </w:rPr>
              <w:t xml:space="preserve">(You </w:t>
            </w:r>
            <w:r w:rsidR="001D29A6">
              <w:rPr>
                <w:rFonts w:cs="Arial"/>
                <w:sz w:val="20"/>
                <w:szCs w:val="20"/>
                <w:lang w:val="en-AU"/>
              </w:rPr>
              <w:t>c</w:t>
            </w:r>
            <w:r w:rsidRPr="00474504">
              <w:rPr>
                <w:rFonts w:cs="Arial"/>
                <w:sz w:val="20"/>
                <w:szCs w:val="20"/>
                <w:lang w:val="en-AU"/>
              </w:rPr>
              <w:t>arry on a business</w:t>
            </w:r>
            <w:r w:rsidR="00843A8E">
              <w:rPr>
                <w:rFonts w:cs="Arial"/>
                <w:sz w:val="20"/>
                <w:szCs w:val="20"/>
                <w:lang w:val="en-AU"/>
              </w:rPr>
              <w:t>,</w:t>
            </w:r>
            <w:r w:rsidRPr="00474504">
              <w:rPr>
                <w:rFonts w:cs="Arial"/>
                <w:sz w:val="20"/>
                <w:szCs w:val="20"/>
                <w:lang w:val="en-AU"/>
              </w:rPr>
              <w:t xml:space="preserve"> and your aggregated </w:t>
            </w:r>
            <w:r w:rsidR="00843A8E">
              <w:rPr>
                <w:rFonts w:cs="Arial"/>
                <w:sz w:val="20"/>
                <w:szCs w:val="20"/>
                <w:lang w:val="en-AU"/>
              </w:rPr>
              <w:t>t</w:t>
            </w:r>
            <w:r w:rsidRPr="00474504">
              <w:rPr>
                <w:rFonts w:cs="Arial"/>
                <w:sz w:val="20"/>
                <w:szCs w:val="20"/>
                <w:lang w:val="en-AU"/>
              </w:rPr>
              <w:t>urnover</w:t>
            </w:r>
            <w:r w:rsidR="00843A8E">
              <w:rPr>
                <w:rFonts w:cs="Arial"/>
                <w:sz w:val="20"/>
                <w:szCs w:val="20"/>
                <w:lang w:val="en-AU"/>
              </w:rPr>
              <w:t xml:space="preserve"> is</w:t>
            </w:r>
            <w:r w:rsidRPr="00474504">
              <w:rPr>
                <w:rFonts w:cs="Arial"/>
                <w:sz w:val="20"/>
                <w:szCs w:val="20"/>
                <w:lang w:val="en-AU"/>
              </w:rPr>
              <w:t xml:space="preserve"> &lt; $50 million based on latest income tax assessment lodged before 12 March 2020</w:t>
            </w:r>
            <w:r w:rsidR="00843A8E">
              <w:rPr>
                <w:rFonts w:cs="Arial"/>
                <w:sz w:val="20"/>
                <w:szCs w:val="20"/>
                <w:lang w:val="en-AU"/>
              </w:rPr>
              <w:t>,</w:t>
            </w:r>
            <w:r w:rsidRPr="00474504">
              <w:rPr>
                <w:rFonts w:cs="Arial"/>
                <w:sz w:val="20"/>
                <w:szCs w:val="20"/>
                <w:lang w:val="en-AU"/>
              </w:rPr>
              <w:t xml:space="preserve"> </w:t>
            </w:r>
            <w:r w:rsidRPr="0041602F">
              <w:rPr>
                <w:rFonts w:cs="Arial"/>
                <w:bCs/>
                <w:lang w:val="en-AU"/>
              </w:rPr>
              <w:t>or</w:t>
            </w:r>
            <w:r w:rsidRPr="00474504">
              <w:rPr>
                <w:rFonts w:cs="Arial"/>
                <w:sz w:val="20"/>
                <w:szCs w:val="20"/>
                <w:lang w:val="en-AU"/>
              </w:rPr>
              <w:t xml:space="preserve"> </w:t>
            </w:r>
            <w:r w:rsidR="00843A8E">
              <w:rPr>
                <w:rFonts w:cs="Arial"/>
                <w:sz w:val="20"/>
                <w:szCs w:val="20"/>
                <w:lang w:val="en-AU"/>
              </w:rPr>
              <w:t xml:space="preserve">you </w:t>
            </w:r>
            <w:r w:rsidRPr="00474504">
              <w:rPr>
                <w:rFonts w:cs="Arial"/>
                <w:sz w:val="20"/>
                <w:szCs w:val="20"/>
                <w:lang w:val="en-AU"/>
              </w:rPr>
              <w:t xml:space="preserve">satisfy </w:t>
            </w:r>
            <w:r w:rsidR="00843A8E">
              <w:rPr>
                <w:rFonts w:cs="Arial"/>
                <w:sz w:val="20"/>
                <w:szCs w:val="20"/>
                <w:lang w:val="en-AU"/>
              </w:rPr>
              <w:t xml:space="preserve">the </w:t>
            </w:r>
            <w:r w:rsidRPr="00474504">
              <w:rPr>
                <w:rFonts w:cs="Arial"/>
                <w:sz w:val="20"/>
                <w:szCs w:val="20"/>
                <w:lang w:val="en-AU"/>
              </w:rPr>
              <w:t xml:space="preserve">Commissioner </w:t>
            </w:r>
            <w:r w:rsidR="00843A8E">
              <w:rPr>
                <w:rFonts w:cs="Arial"/>
                <w:sz w:val="20"/>
                <w:szCs w:val="20"/>
                <w:lang w:val="en-AU"/>
              </w:rPr>
              <w:t xml:space="preserve">that </w:t>
            </w:r>
            <w:r w:rsidRPr="00474504">
              <w:rPr>
                <w:rFonts w:cs="Arial"/>
                <w:sz w:val="20"/>
                <w:szCs w:val="20"/>
                <w:lang w:val="en-AU"/>
              </w:rPr>
              <w:t>you are SBE or MBE)</w:t>
            </w:r>
          </w:p>
          <w:p w14:paraId="312AABD4" w14:textId="77777777" w:rsidR="005440D1" w:rsidRPr="00474504" w:rsidRDefault="005440D1" w:rsidP="008B2A86">
            <w:pPr>
              <w:spacing w:before="0" w:after="0"/>
              <w:ind w:right="133"/>
              <w:rPr>
                <w:rFonts w:cs="Arial"/>
                <w:sz w:val="20"/>
                <w:szCs w:val="20"/>
                <w:lang w:val="en-AU"/>
              </w:rPr>
            </w:pPr>
          </w:p>
        </w:tc>
        <w:tc>
          <w:tcPr>
            <w:tcW w:w="1276" w:type="dxa"/>
          </w:tcPr>
          <w:p w14:paraId="4D0EC366" w14:textId="77777777" w:rsidR="005440D1" w:rsidRPr="00474504" w:rsidRDefault="005440D1" w:rsidP="008B2A86">
            <w:pPr>
              <w:spacing w:before="0" w:after="0"/>
              <w:ind w:right="133"/>
              <w:jc w:val="center"/>
              <w:rPr>
                <w:rFonts w:cs="Arial"/>
                <w:sz w:val="20"/>
                <w:szCs w:val="20"/>
                <w:lang w:val="en-AU"/>
              </w:rPr>
            </w:pPr>
          </w:p>
        </w:tc>
        <w:tc>
          <w:tcPr>
            <w:tcW w:w="1322" w:type="dxa"/>
          </w:tcPr>
          <w:p w14:paraId="4A6B02A9" w14:textId="37940313" w:rsidR="005440D1" w:rsidRPr="00474504" w:rsidRDefault="005440D1" w:rsidP="008B2A86">
            <w:pPr>
              <w:spacing w:before="0" w:after="0"/>
              <w:ind w:right="133"/>
              <w:jc w:val="center"/>
              <w:rPr>
                <w:rFonts w:cs="Arial"/>
                <w:sz w:val="20"/>
                <w:szCs w:val="20"/>
                <w:lang w:val="en-AU"/>
              </w:rPr>
            </w:pPr>
          </w:p>
        </w:tc>
      </w:tr>
      <w:tr w:rsidR="005440D1" w:rsidRPr="00474504" w14:paraId="657E6031" w14:textId="77777777" w:rsidTr="008B2A86">
        <w:trPr>
          <w:trHeight w:val="542"/>
        </w:trPr>
        <w:tc>
          <w:tcPr>
            <w:tcW w:w="7508" w:type="dxa"/>
          </w:tcPr>
          <w:p w14:paraId="0F5A37E3" w14:textId="77777777" w:rsidR="005440D1" w:rsidRPr="00474504" w:rsidRDefault="005440D1" w:rsidP="008B2A86">
            <w:pPr>
              <w:spacing w:before="0" w:after="0"/>
              <w:ind w:right="133"/>
              <w:rPr>
                <w:rFonts w:cs="Arial"/>
                <w:sz w:val="20"/>
                <w:szCs w:val="20"/>
                <w:lang w:val="en-AU"/>
              </w:rPr>
            </w:pPr>
          </w:p>
          <w:p w14:paraId="131EACCD" w14:textId="21B7FCAA" w:rsidR="005440D1" w:rsidRPr="00F2275B" w:rsidRDefault="005440D1" w:rsidP="008B2A86">
            <w:pPr>
              <w:spacing w:before="0" w:after="0"/>
              <w:ind w:right="133"/>
              <w:rPr>
                <w:rFonts w:cs="Arial"/>
                <w:sz w:val="20"/>
                <w:szCs w:val="20"/>
                <w:lang w:val="en-AU"/>
              </w:rPr>
            </w:pPr>
            <w:r w:rsidRPr="00F2275B">
              <w:rPr>
                <w:rFonts w:cs="Arial"/>
                <w:sz w:val="20"/>
                <w:szCs w:val="20"/>
                <w:lang w:val="en-AU"/>
              </w:rPr>
              <w:t xml:space="preserve">You </w:t>
            </w:r>
            <w:r w:rsidRPr="00F2275B">
              <w:rPr>
                <w:rFonts w:cs="Arial"/>
                <w:bCs/>
                <w:sz w:val="20"/>
                <w:szCs w:val="20"/>
                <w:lang w:val="en-AU"/>
              </w:rPr>
              <w:t>make a payment</w:t>
            </w:r>
            <w:r w:rsidRPr="00F2275B">
              <w:rPr>
                <w:rFonts w:cs="Arial"/>
                <w:sz w:val="20"/>
                <w:szCs w:val="20"/>
                <w:lang w:val="en-AU"/>
              </w:rPr>
              <w:t xml:space="preserve"> to your workers subject to PAYG </w:t>
            </w:r>
            <w:r w:rsidR="00843A8E" w:rsidRPr="00F2275B">
              <w:rPr>
                <w:rFonts w:cs="Arial"/>
                <w:sz w:val="20"/>
                <w:szCs w:val="20"/>
                <w:lang w:val="en-AU"/>
              </w:rPr>
              <w:t>w</w:t>
            </w:r>
            <w:r w:rsidRPr="00F2275B">
              <w:rPr>
                <w:rFonts w:cs="Arial"/>
                <w:sz w:val="20"/>
                <w:szCs w:val="20"/>
                <w:lang w:val="en-AU"/>
              </w:rPr>
              <w:t>ithholding in the relevant period?</w:t>
            </w:r>
          </w:p>
          <w:p w14:paraId="1AD7E3D4" w14:textId="77777777" w:rsidR="005440D1" w:rsidRPr="00474504" w:rsidRDefault="005440D1" w:rsidP="008B2A86">
            <w:pPr>
              <w:spacing w:before="0" w:after="0"/>
              <w:ind w:right="133"/>
              <w:rPr>
                <w:rFonts w:cs="Arial"/>
                <w:sz w:val="20"/>
                <w:szCs w:val="20"/>
                <w:lang w:val="en-AU"/>
              </w:rPr>
            </w:pPr>
          </w:p>
        </w:tc>
        <w:tc>
          <w:tcPr>
            <w:tcW w:w="1276" w:type="dxa"/>
          </w:tcPr>
          <w:p w14:paraId="674C0E0F" w14:textId="2A64C11A" w:rsidR="005440D1" w:rsidRPr="00474504" w:rsidRDefault="005440D1" w:rsidP="008B2A86">
            <w:pPr>
              <w:spacing w:before="0" w:after="0"/>
              <w:ind w:right="133"/>
              <w:jc w:val="center"/>
              <w:rPr>
                <w:rFonts w:cs="Arial"/>
                <w:sz w:val="20"/>
                <w:szCs w:val="20"/>
                <w:lang w:val="en-AU"/>
              </w:rPr>
            </w:pPr>
          </w:p>
        </w:tc>
        <w:tc>
          <w:tcPr>
            <w:tcW w:w="1322" w:type="dxa"/>
          </w:tcPr>
          <w:p w14:paraId="6BC451AE" w14:textId="77777777" w:rsidR="005440D1" w:rsidRPr="00474504" w:rsidRDefault="005440D1" w:rsidP="008B2A86">
            <w:pPr>
              <w:spacing w:before="0" w:after="0"/>
              <w:ind w:right="133"/>
              <w:jc w:val="center"/>
              <w:rPr>
                <w:rFonts w:cs="Arial"/>
                <w:sz w:val="20"/>
                <w:szCs w:val="20"/>
                <w:lang w:val="en-AU"/>
              </w:rPr>
            </w:pPr>
          </w:p>
        </w:tc>
      </w:tr>
      <w:tr w:rsidR="005440D1" w:rsidRPr="00474504" w14:paraId="1821332A" w14:textId="77777777" w:rsidTr="008B2A86">
        <w:trPr>
          <w:trHeight w:val="542"/>
        </w:trPr>
        <w:tc>
          <w:tcPr>
            <w:tcW w:w="7508" w:type="dxa"/>
          </w:tcPr>
          <w:p w14:paraId="3C3D2BDE" w14:textId="77777777" w:rsidR="005440D1" w:rsidRPr="00474504" w:rsidRDefault="005440D1" w:rsidP="008B2A86">
            <w:pPr>
              <w:spacing w:before="0" w:after="0"/>
              <w:ind w:right="133"/>
              <w:rPr>
                <w:rFonts w:cs="Arial"/>
                <w:sz w:val="20"/>
                <w:szCs w:val="20"/>
                <w:lang w:val="en-AU"/>
              </w:rPr>
            </w:pPr>
          </w:p>
          <w:p w14:paraId="11C8A4FD" w14:textId="192CC55A" w:rsidR="005440D1" w:rsidRPr="00F2275B" w:rsidRDefault="005440D1" w:rsidP="008B2A86">
            <w:pPr>
              <w:spacing w:before="0" w:after="0"/>
              <w:ind w:right="133"/>
              <w:rPr>
                <w:rFonts w:cs="Arial"/>
                <w:sz w:val="20"/>
                <w:szCs w:val="20"/>
                <w:lang w:val="en-AU"/>
              </w:rPr>
            </w:pPr>
            <w:r w:rsidRPr="00F2275B">
              <w:rPr>
                <w:rFonts w:cs="Arial"/>
                <w:sz w:val="20"/>
                <w:szCs w:val="20"/>
                <w:lang w:val="en-AU"/>
              </w:rPr>
              <w:t xml:space="preserve">You </w:t>
            </w:r>
            <w:r w:rsidRPr="00F2275B">
              <w:rPr>
                <w:rFonts w:cs="Arial"/>
                <w:bCs/>
                <w:sz w:val="20"/>
                <w:szCs w:val="20"/>
                <w:lang w:val="en-AU"/>
              </w:rPr>
              <w:t>make the payment</w:t>
            </w:r>
            <w:r w:rsidRPr="00F2275B">
              <w:rPr>
                <w:rFonts w:cs="Arial"/>
                <w:sz w:val="20"/>
                <w:szCs w:val="20"/>
                <w:lang w:val="en-AU"/>
              </w:rPr>
              <w:t xml:space="preserve"> in the relevant period</w:t>
            </w:r>
            <w:r w:rsidRPr="00F2275B">
              <w:rPr>
                <w:rFonts w:cs="Arial"/>
                <w:sz w:val="20"/>
                <w:szCs w:val="20"/>
                <w:lang w:val="en-AU"/>
              </w:rPr>
              <w:br/>
              <w:t xml:space="preserve">Monthly </w:t>
            </w:r>
            <w:r w:rsidR="00843A8E" w:rsidRPr="00F2275B">
              <w:rPr>
                <w:rFonts w:cs="Arial"/>
                <w:sz w:val="20"/>
                <w:szCs w:val="20"/>
                <w:lang w:val="en-AU"/>
              </w:rPr>
              <w:t>l</w:t>
            </w:r>
            <w:r w:rsidRPr="00F2275B">
              <w:rPr>
                <w:rFonts w:cs="Arial"/>
                <w:sz w:val="20"/>
                <w:szCs w:val="20"/>
                <w:lang w:val="en-AU"/>
              </w:rPr>
              <w:t xml:space="preserve">odgers </w:t>
            </w:r>
            <w:r w:rsidR="00843A8E" w:rsidRPr="00F2275B">
              <w:rPr>
                <w:rFonts w:cs="Arial"/>
                <w:sz w:val="20"/>
                <w:szCs w:val="20"/>
                <w:lang w:val="en-AU"/>
              </w:rPr>
              <w:t>–</w:t>
            </w:r>
            <w:r w:rsidRPr="00F2275B">
              <w:rPr>
                <w:rFonts w:cs="Arial"/>
                <w:sz w:val="20"/>
                <w:szCs w:val="20"/>
                <w:lang w:val="en-AU"/>
              </w:rPr>
              <w:t xml:space="preserve"> March, April May and June</w:t>
            </w:r>
            <w:r w:rsidRPr="00F2275B">
              <w:rPr>
                <w:rFonts w:cs="Arial"/>
                <w:sz w:val="20"/>
                <w:szCs w:val="20"/>
                <w:lang w:val="en-AU"/>
              </w:rPr>
              <w:br/>
              <w:t xml:space="preserve">Quarterly </w:t>
            </w:r>
            <w:r w:rsidR="00843A8E" w:rsidRPr="00F2275B">
              <w:rPr>
                <w:rFonts w:cs="Arial"/>
                <w:sz w:val="20"/>
                <w:szCs w:val="20"/>
                <w:lang w:val="en-AU"/>
              </w:rPr>
              <w:t>l</w:t>
            </w:r>
            <w:r w:rsidRPr="00F2275B">
              <w:rPr>
                <w:rFonts w:cs="Arial"/>
                <w:sz w:val="20"/>
                <w:szCs w:val="20"/>
                <w:lang w:val="en-AU"/>
              </w:rPr>
              <w:t xml:space="preserve">odgers </w:t>
            </w:r>
            <w:r w:rsidR="00843A8E" w:rsidRPr="00F2275B">
              <w:rPr>
                <w:rFonts w:cs="Arial"/>
                <w:sz w:val="20"/>
                <w:szCs w:val="20"/>
                <w:lang w:val="en-AU"/>
              </w:rPr>
              <w:t>–</w:t>
            </w:r>
            <w:r w:rsidRPr="00F2275B">
              <w:rPr>
                <w:rFonts w:cs="Arial"/>
                <w:sz w:val="20"/>
                <w:szCs w:val="20"/>
                <w:lang w:val="en-AU"/>
              </w:rPr>
              <w:t xml:space="preserve"> March </w:t>
            </w:r>
            <w:r w:rsidR="00843A8E" w:rsidRPr="00F2275B">
              <w:rPr>
                <w:rFonts w:cs="Arial"/>
                <w:sz w:val="20"/>
                <w:szCs w:val="20"/>
                <w:lang w:val="en-AU"/>
              </w:rPr>
              <w:t>q</w:t>
            </w:r>
            <w:r w:rsidRPr="00F2275B">
              <w:rPr>
                <w:rFonts w:cs="Arial"/>
                <w:sz w:val="20"/>
                <w:szCs w:val="20"/>
                <w:lang w:val="en-AU"/>
              </w:rPr>
              <w:t xml:space="preserve">uarter and June </w:t>
            </w:r>
            <w:r w:rsidR="00843A8E" w:rsidRPr="00F2275B">
              <w:rPr>
                <w:rFonts w:cs="Arial"/>
                <w:sz w:val="20"/>
                <w:szCs w:val="20"/>
                <w:lang w:val="en-AU"/>
              </w:rPr>
              <w:t>q</w:t>
            </w:r>
            <w:r w:rsidRPr="00F2275B">
              <w:rPr>
                <w:rFonts w:cs="Arial"/>
                <w:sz w:val="20"/>
                <w:szCs w:val="20"/>
                <w:lang w:val="en-AU"/>
              </w:rPr>
              <w:t>uarter</w:t>
            </w:r>
          </w:p>
          <w:p w14:paraId="596E405F" w14:textId="77777777" w:rsidR="005440D1" w:rsidRPr="00474504" w:rsidRDefault="005440D1" w:rsidP="008B2A86">
            <w:pPr>
              <w:spacing w:before="0" w:after="0"/>
              <w:ind w:right="133"/>
              <w:rPr>
                <w:rFonts w:cs="Arial"/>
                <w:sz w:val="20"/>
                <w:szCs w:val="20"/>
                <w:lang w:val="en-AU"/>
              </w:rPr>
            </w:pPr>
          </w:p>
        </w:tc>
        <w:tc>
          <w:tcPr>
            <w:tcW w:w="1276" w:type="dxa"/>
          </w:tcPr>
          <w:p w14:paraId="75A85AC5" w14:textId="659BD3AD" w:rsidR="005440D1" w:rsidRPr="00474504" w:rsidRDefault="005440D1" w:rsidP="008B2A86">
            <w:pPr>
              <w:spacing w:before="0" w:after="0"/>
              <w:ind w:right="133"/>
              <w:jc w:val="center"/>
              <w:rPr>
                <w:rFonts w:cs="Arial"/>
                <w:sz w:val="20"/>
                <w:szCs w:val="20"/>
                <w:lang w:val="en-AU"/>
              </w:rPr>
            </w:pPr>
          </w:p>
        </w:tc>
        <w:tc>
          <w:tcPr>
            <w:tcW w:w="1322" w:type="dxa"/>
          </w:tcPr>
          <w:p w14:paraId="56AF24BC" w14:textId="7FE583D5" w:rsidR="005440D1" w:rsidRPr="00474504" w:rsidRDefault="005440D1" w:rsidP="008B2A86">
            <w:pPr>
              <w:spacing w:before="0" w:after="0"/>
              <w:ind w:right="133"/>
              <w:jc w:val="center"/>
              <w:rPr>
                <w:rFonts w:cs="Arial"/>
                <w:sz w:val="20"/>
                <w:szCs w:val="20"/>
                <w:lang w:val="en-AU"/>
              </w:rPr>
            </w:pPr>
          </w:p>
        </w:tc>
      </w:tr>
      <w:tr w:rsidR="005440D1" w:rsidRPr="00474504" w14:paraId="798CB940" w14:textId="77777777" w:rsidTr="008B2A86">
        <w:trPr>
          <w:trHeight w:val="542"/>
        </w:trPr>
        <w:tc>
          <w:tcPr>
            <w:tcW w:w="7508" w:type="dxa"/>
          </w:tcPr>
          <w:p w14:paraId="4CB49731" w14:textId="77777777" w:rsidR="005440D1" w:rsidRPr="00474504" w:rsidRDefault="005440D1" w:rsidP="008B2A86">
            <w:pPr>
              <w:spacing w:before="0" w:after="0"/>
              <w:ind w:right="133"/>
              <w:rPr>
                <w:rFonts w:cs="Arial"/>
                <w:sz w:val="20"/>
                <w:szCs w:val="20"/>
                <w:lang w:val="en-AU"/>
              </w:rPr>
            </w:pPr>
          </w:p>
          <w:p w14:paraId="471910D6" w14:textId="24A904D5" w:rsidR="005440D1" w:rsidRPr="00474504" w:rsidRDefault="005440D1" w:rsidP="008B2A86">
            <w:pPr>
              <w:spacing w:before="0" w:after="0"/>
              <w:ind w:right="133"/>
              <w:rPr>
                <w:rFonts w:cs="Arial"/>
                <w:sz w:val="20"/>
                <w:szCs w:val="20"/>
                <w:lang w:val="en-AU"/>
              </w:rPr>
            </w:pPr>
            <w:r w:rsidRPr="00474504">
              <w:rPr>
                <w:rFonts w:cs="Arial"/>
                <w:sz w:val="20"/>
                <w:szCs w:val="20"/>
                <w:lang w:val="en-AU"/>
              </w:rPr>
              <w:t xml:space="preserve">You </w:t>
            </w:r>
            <w:r w:rsidR="00843A8E">
              <w:rPr>
                <w:rFonts w:cs="Arial"/>
                <w:bCs/>
                <w:sz w:val="20"/>
                <w:szCs w:val="20"/>
                <w:lang w:val="en-AU"/>
              </w:rPr>
              <w:t>n</w:t>
            </w:r>
            <w:r w:rsidRPr="0041602F">
              <w:rPr>
                <w:rFonts w:cs="Arial"/>
                <w:bCs/>
                <w:lang w:val="en-AU"/>
              </w:rPr>
              <w:t>otify</w:t>
            </w:r>
            <w:r w:rsidRPr="00474504">
              <w:rPr>
                <w:rFonts w:cs="Arial"/>
                <w:sz w:val="20"/>
                <w:szCs w:val="20"/>
                <w:lang w:val="en-AU"/>
              </w:rPr>
              <w:t xml:space="preserve"> the Commissioner by lodging your activity </w:t>
            </w:r>
            <w:r w:rsidR="00843A8E">
              <w:rPr>
                <w:rFonts w:cs="Arial"/>
                <w:sz w:val="20"/>
                <w:szCs w:val="20"/>
                <w:lang w:val="en-AU"/>
              </w:rPr>
              <w:t>s</w:t>
            </w:r>
            <w:r w:rsidRPr="00474504">
              <w:rPr>
                <w:rFonts w:cs="Arial"/>
                <w:sz w:val="20"/>
                <w:szCs w:val="20"/>
                <w:lang w:val="en-AU"/>
              </w:rPr>
              <w:t>tatement</w:t>
            </w:r>
          </w:p>
          <w:p w14:paraId="27A7BA02" w14:textId="77777777" w:rsidR="005440D1" w:rsidRPr="00474504" w:rsidRDefault="005440D1" w:rsidP="008B2A86">
            <w:pPr>
              <w:spacing w:before="0" w:after="0"/>
              <w:ind w:right="133"/>
              <w:rPr>
                <w:rFonts w:cs="Arial"/>
                <w:sz w:val="20"/>
                <w:szCs w:val="20"/>
                <w:lang w:val="en-AU"/>
              </w:rPr>
            </w:pPr>
          </w:p>
        </w:tc>
        <w:tc>
          <w:tcPr>
            <w:tcW w:w="1276" w:type="dxa"/>
          </w:tcPr>
          <w:p w14:paraId="6897B784" w14:textId="032B2810" w:rsidR="005440D1" w:rsidRPr="00474504" w:rsidRDefault="005440D1" w:rsidP="008B2A86">
            <w:pPr>
              <w:spacing w:before="0" w:after="0"/>
              <w:ind w:right="133"/>
              <w:jc w:val="center"/>
              <w:rPr>
                <w:rFonts w:cs="Arial"/>
                <w:sz w:val="20"/>
                <w:szCs w:val="20"/>
                <w:lang w:val="en-AU"/>
              </w:rPr>
            </w:pPr>
          </w:p>
        </w:tc>
        <w:tc>
          <w:tcPr>
            <w:tcW w:w="1322" w:type="dxa"/>
          </w:tcPr>
          <w:p w14:paraId="1F682629" w14:textId="33355E37" w:rsidR="005440D1" w:rsidRPr="00474504" w:rsidRDefault="005440D1" w:rsidP="008B2A86">
            <w:pPr>
              <w:spacing w:before="0" w:after="0"/>
              <w:ind w:right="133"/>
              <w:jc w:val="center"/>
              <w:rPr>
                <w:rFonts w:cs="Arial"/>
                <w:sz w:val="20"/>
                <w:szCs w:val="20"/>
                <w:lang w:val="en-AU"/>
              </w:rPr>
            </w:pPr>
          </w:p>
        </w:tc>
      </w:tr>
      <w:tr w:rsidR="005440D1" w:rsidRPr="00474504" w14:paraId="2AC92D0E" w14:textId="77777777" w:rsidTr="008B2A86">
        <w:trPr>
          <w:trHeight w:val="542"/>
        </w:trPr>
        <w:tc>
          <w:tcPr>
            <w:tcW w:w="7508" w:type="dxa"/>
          </w:tcPr>
          <w:p w14:paraId="26ABBB98" w14:textId="77777777" w:rsidR="005440D1" w:rsidRPr="00474504" w:rsidRDefault="005440D1" w:rsidP="008B2A86">
            <w:pPr>
              <w:spacing w:before="0" w:after="0"/>
              <w:ind w:right="133"/>
              <w:rPr>
                <w:rFonts w:cs="Arial"/>
                <w:sz w:val="20"/>
                <w:szCs w:val="20"/>
                <w:lang w:val="en-AU"/>
              </w:rPr>
            </w:pPr>
          </w:p>
          <w:p w14:paraId="25488D10" w14:textId="37BA2B66" w:rsidR="005440D1" w:rsidRPr="00474504" w:rsidRDefault="005440D1" w:rsidP="008B2A86">
            <w:pPr>
              <w:spacing w:before="0" w:after="0"/>
              <w:ind w:right="133"/>
              <w:rPr>
                <w:rFonts w:cs="Arial"/>
                <w:sz w:val="20"/>
                <w:szCs w:val="20"/>
                <w:lang w:val="en-AU"/>
              </w:rPr>
            </w:pPr>
            <w:r w:rsidRPr="00474504">
              <w:rPr>
                <w:rFonts w:cs="Arial"/>
                <w:sz w:val="20"/>
                <w:szCs w:val="20"/>
                <w:lang w:val="en-AU"/>
              </w:rPr>
              <w:t xml:space="preserve">You had an </w:t>
            </w:r>
            <w:r w:rsidRPr="0041602F">
              <w:rPr>
                <w:rFonts w:cs="Arial"/>
                <w:bCs/>
                <w:lang w:val="en-AU"/>
              </w:rPr>
              <w:t xml:space="preserve">ABN </w:t>
            </w:r>
            <w:r w:rsidRPr="00474504">
              <w:rPr>
                <w:rFonts w:cs="Arial"/>
                <w:sz w:val="20"/>
                <w:szCs w:val="20"/>
                <w:lang w:val="en-AU"/>
              </w:rPr>
              <w:t>on 12 March 2020</w:t>
            </w:r>
          </w:p>
          <w:p w14:paraId="6B58664B" w14:textId="77777777" w:rsidR="005440D1" w:rsidRPr="00474504" w:rsidRDefault="005440D1" w:rsidP="008B2A86">
            <w:pPr>
              <w:spacing w:before="0" w:after="0"/>
              <w:ind w:right="133"/>
              <w:rPr>
                <w:rFonts w:cs="Arial"/>
                <w:sz w:val="20"/>
                <w:szCs w:val="20"/>
                <w:lang w:val="en-AU"/>
              </w:rPr>
            </w:pPr>
          </w:p>
        </w:tc>
        <w:tc>
          <w:tcPr>
            <w:tcW w:w="1276" w:type="dxa"/>
          </w:tcPr>
          <w:p w14:paraId="39593006" w14:textId="7C1FB2C1" w:rsidR="005440D1" w:rsidRPr="00474504" w:rsidRDefault="005440D1" w:rsidP="008B2A86">
            <w:pPr>
              <w:spacing w:before="0" w:after="0"/>
              <w:ind w:right="133"/>
              <w:jc w:val="center"/>
              <w:rPr>
                <w:rFonts w:cs="Arial"/>
                <w:sz w:val="20"/>
                <w:szCs w:val="20"/>
                <w:lang w:val="en-AU"/>
              </w:rPr>
            </w:pPr>
          </w:p>
        </w:tc>
        <w:tc>
          <w:tcPr>
            <w:tcW w:w="1322" w:type="dxa"/>
          </w:tcPr>
          <w:p w14:paraId="2D943BDC" w14:textId="297ACD1F" w:rsidR="005440D1" w:rsidRPr="00474504" w:rsidRDefault="005440D1" w:rsidP="008B2A86">
            <w:pPr>
              <w:spacing w:before="0" w:after="0"/>
              <w:ind w:right="133"/>
              <w:jc w:val="center"/>
              <w:rPr>
                <w:rFonts w:cs="Arial"/>
                <w:sz w:val="20"/>
                <w:szCs w:val="20"/>
                <w:lang w:val="en-AU"/>
              </w:rPr>
            </w:pPr>
          </w:p>
        </w:tc>
      </w:tr>
      <w:tr w:rsidR="005440D1" w:rsidRPr="00474504" w14:paraId="33875F40" w14:textId="77777777" w:rsidTr="008B2A86">
        <w:trPr>
          <w:trHeight w:val="542"/>
        </w:trPr>
        <w:tc>
          <w:tcPr>
            <w:tcW w:w="7508" w:type="dxa"/>
          </w:tcPr>
          <w:p w14:paraId="02D24C87" w14:textId="77777777" w:rsidR="005440D1" w:rsidRPr="00474504" w:rsidRDefault="005440D1" w:rsidP="008B2A86">
            <w:pPr>
              <w:spacing w:before="0" w:after="0"/>
              <w:ind w:right="133"/>
              <w:rPr>
                <w:rFonts w:cs="Arial"/>
                <w:sz w:val="20"/>
                <w:szCs w:val="20"/>
                <w:lang w:val="en-AU"/>
              </w:rPr>
            </w:pPr>
          </w:p>
          <w:p w14:paraId="58CE93BC" w14:textId="16E7A176" w:rsidR="005440D1" w:rsidRPr="00474504" w:rsidRDefault="005440D1" w:rsidP="008B2A86">
            <w:pPr>
              <w:spacing w:before="0" w:after="0"/>
              <w:ind w:right="133"/>
              <w:rPr>
                <w:rFonts w:cs="Arial"/>
                <w:sz w:val="20"/>
                <w:szCs w:val="20"/>
                <w:lang w:val="en-AU"/>
              </w:rPr>
            </w:pPr>
            <w:r w:rsidRPr="00474504">
              <w:rPr>
                <w:rFonts w:cs="Arial"/>
                <w:sz w:val="20"/>
                <w:szCs w:val="20"/>
                <w:lang w:val="en-AU"/>
              </w:rPr>
              <w:t xml:space="preserve">You were </w:t>
            </w:r>
            <w:r w:rsidRPr="00474504">
              <w:rPr>
                <w:rFonts w:cs="Arial"/>
                <w:b/>
                <w:sz w:val="20"/>
                <w:szCs w:val="20"/>
                <w:lang w:val="en-AU"/>
              </w:rPr>
              <w:t>actively in business</w:t>
            </w:r>
            <w:r w:rsidRPr="00474504">
              <w:rPr>
                <w:rFonts w:cs="Arial"/>
                <w:sz w:val="20"/>
                <w:szCs w:val="20"/>
                <w:lang w:val="en-AU"/>
              </w:rPr>
              <w:t xml:space="preserve"> as at 12 March 2020</w:t>
            </w:r>
            <w:r w:rsidRPr="00474504">
              <w:rPr>
                <w:rFonts w:cs="Arial"/>
                <w:sz w:val="20"/>
                <w:szCs w:val="20"/>
                <w:lang w:val="en-AU"/>
              </w:rPr>
              <w:br/>
              <w:t>(you have lodged your 2019 tax return before 12 March 2020</w:t>
            </w:r>
            <w:r w:rsidR="00843A8E">
              <w:rPr>
                <w:rFonts w:cs="Arial"/>
                <w:sz w:val="20"/>
                <w:szCs w:val="20"/>
                <w:lang w:val="en-AU"/>
              </w:rPr>
              <w:t>,</w:t>
            </w:r>
            <w:r w:rsidRPr="00474504">
              <w:rPr>
                <w:rFonts w:cs="Arial"/>
                <w:sz w:val="20"/>
                <w:szCs w:val="20"/>
                <w:lang w:val="en-AU"/>
              </w:rPr>
              <w:t xml:space="preserve"> or</w:t>
            </w:r>
            <w:r w:rsidR="00843A8E">
              <w:rPr>
                <w:rFonts w:cs="Arial"/>
                <w:sz w:val="20"/>
                <w:szCs w:val="20"/>
                <w:lang w:val="en-AU"/>
              </w:rPr>
              <w:t xml:space="preserve"> m</w:t>
            </w:r>
            <w:r w:rsidRPr="00474504">
              <w:rPr>
                <w:rFonts w:cs="Arial"/>
                <w:sz w:val="20"/>
                <w:szCs w:val="20"/>
                <w:lang w:val="en-AU"/>
              </w:rPr>
              <w:t xml:space="preserve">ade a supply after 1 July 2018 and notified </w:t>
            </w:r>
            <w:r w:rsidR="00843A8E">
              <w:rPr>
                <w:rFonts w:cs="Arial"/>
                <w:sz w:val="20"/>
                <w:szCs w:val="20"/>
                <w:lang w:val="en-AU"/>
              </w:rPr>
              <w:t xml:space="preserve">the </w:t>
            </w:r>
            <w:r w:rsidRPr="00474504">
              <w:rPr>
                <w:rFonts w:cs="Arial"/>
                <w:sz w:val="20"/>
                <w:szCs w:val="20"/>
                <w:lang w:val="en-AU"/>
              </w:rPr>
              <w:t>Commissioner before 12 March 2020</w:t>
            </w:r>
            <w:r w:rsidR="00843A8E">
              <w:rPr>
                <w:rFonts w:cs="Arial"/>
                <w:sz w:val="20"/>
                <w:szCs w:val="20"/>
                <w:lang w:val="en-AU"/>
              </w:rPr>
              <w:t>)</w:t>
            </w:r>
          </w:p>
          <w:p w14:paraId="08067216" w14:textId="77777777" w:rsidR="005440D1" w:rsidRPr="00474504" w:rsidRDefault="005440D1" w:rsidP="008B2A86">
            <w:pPr>
              <w:spacing w:before="0" w:after="0"/>
              <w:ind w:right="133"/>
              <w:rPr>
                <w:rFonts w:cs="Arial"/>
                <w:sz w:val="20"/>
                <w:szCs w:val="20"/>
                <w:lang w:val="en-AU"/>
              </w:rPr>
            </w:pPr>
          </w:p>
        </w:tc>
        <w:tc>
          <w:tcPr>
            <w:tcW w:w="1276" w:type="dxa"/>
          </w:tcPr>
          <w:p w14:paraId="7A5377DA" w14:textId="4F29F585" w:rsidR="005440D1" w:rsidRPr="00474504" w:rsidRDefault="005440D1" w:rsidP="008B2A86">
            <w:pPr>
              <w:spacing w:before="0" w:after="0"/>
              <w:ind w:right="133"/>
              <w:jc w:val="center"/>
              <w:rPr>
                <w:rFonts w:cs="Arial"/>
                <w:sz w:val="20"/>
                <w:szCs w:val="20"/>
                <w:lang w:val="en-AU"/>
              </w:rPr>
            </w:pPr>
          </w:p>
        </w:tc>
        <w:tc>
          <w:tcPr>
            <w:tcW w:w="1322" w:type="dxa"/>
          </w:tcPr>
          <w:p w14:paraId="6F29D96F" w14:textId="1B5912C4" w:rsidR="005440D1" w:rsidRPr="00474504" w:rsidRDefault="005440D1" w:rsidP="008B2A86">
            <w:pPr>
              <w:spacing w:before="0" w:after="0"/>
              <w:ind w:right="133"/>
              <w:jc w:val="center"/>
              <w:rPr>
                <w:rFonts w:cs="Arial"/>
                <w:sz w:val="20"/>
                <w:szCs w:val="20"/>
                <w:lang w:val="en-AU"/>
              </w:rPr>
            </w:pPr>
          </w:p>
        </w:tc>
      </w:tr>
      <w:tr w:rsidR="005440D1" w:rsidRPr="00474504" w14:paraId="7B0A15B2" w14:textId="77777777" w:rsidTr="008B2A86">
        <w:trPr>
          <w:trHeight w:val="542"/>
        </w:trPr>
        <w:tc>
          <w:tcPr>
            <w:tcW w:w="7508" w:type="dxa"/>
          </w:tcPr>
          <w:p w14:paraId="6B5DF1B0" w14:textId="77777777" w:rsidR="005440D1" w:rsidRPr="00474504" w:rsidRDefault="005440D1" w:rsidP="008B2A86">
            <w:pPr>
              <w:spacing w:before="0" w:after="0"/>
              <w:ind w:right="133"/>
              <w:rPr>
                <w:rFonts w:cs="Arial"/>
                <w:b/>
                <w:sz w:val="20"/>
                <w:szCs w:val="20"/>
                <w:lang w:val="en-AU"/>
              </w:rPr>
            </w:pPr>
          </w:p>
          <w:p w14:paraId="0E0DEC2B" w14:textId="04D42EEE" w:rsidR="005440D1" w:rsidRPr="00474504" w:rsidRDefault="005440D1" w:rsidP="008B2A86">
            <w:pPr>
              <w:spacing w:before="0"/>
              <w:ind w:right="133"/>
              <w:rPr>
                <w:rFonts w:cs="Arial"/>
                <w:b/>
                <w:sz w:val="20"/>
                <w:szCs w:val="20"/>
                <w:lang w:val="en-AU"/>
              </w:rPr>
            </w:pPr>
            <w:r w:rsidRPr="00474504">
              <w:rPr>
                <w:rFonts w:cs="Arial"/>
                <w:b/>
                <w:sz w:val="20"/>
                <w:szCs w:val="20"/>
                <w:lang w:val="en-AU"/>
              </w:rPr>
              <w:t xml:space="preserve">Integrity </w:t>
            </w:r>
            <w:r w:rsidR="00843A8E">
              <w:rPr>
                <w:rFonts w:cs="Arial"/>
                <w:b/>
                <w:sz w:val="20"/>
                <w:szCs w:val="20"/>
                <w:lang w:val="en-AU"/>
              </w:rPr>
              <w:t>r</w:t>
            </w:r>
            <w:r w:rsidRPr="00474504">
              <w:rPr>
                <w:rFonts w:cs="Arial"/>
                <w:b/>
                <w:sz w:val="20"/>
                <w:szCs w:val="20"/>
                <w:lang w:val="en-AU"/>
              </w:rPr>
              <w:t>ule</w:t>
            </w:r>
          </w:p>
          <w:p w14:paraId="4729F195" w14:textId="298628FC" w:rsidR="005440D1" w:rsidRPr="00474504" w:rsidRDefault="005440D1" w:rsidP="008B2A86">
            <w:pPr>
              <w:spacing w:before="0"/>
              <w:ind w:right="133"/>
              <w:rPr>
                <w:rFonts w:cs="Arial"/>
                <w:sz w:val="20"/>
                <w:szCs w:val="20"/>
                <w:lang w:val="en-AU"/>
              </w:rPr>
            </w:pPr>
            <w:r w:rsidRPr="00474504">
              <w:rPr>
                <w:rFonts w:cs="Arial"/>
                <w:sz w:val="20"/>
                <w:szCs w:val="20"/>
                <w:lang w:val="en-AU"/>
              </w:rPr>
              <w:t xml:space="preserve">You have </w:t>
            </w:r>
            <w:r w:rsidRPr="00474504">
              <w:rPr>
                <w:rFonts w:cs="Arial"/>
                <w:b/>
                <w:sz w:val="20"/>
                <w:szCs w:val="20"/>
                <w:lang w:val="en-AU"/>
              </w:rPr>
              <w:t>not</w:t>
            </w:r>
            <w:r w:rsidRPr="00474504">
              <w:rPr>
                <w:rFonts w:cs="Arial"/>
                <w:sz w:val="20"/>
                <w:szCs w:val="20"/>
                <w:lang w:val="en-AU"/>
              </w:rPr>
              <w:t xml:space="preserve"> entered into a scheme to become eligible to or increase the amount of the </w:t>
            </w:r>
            <w:r w:rsidR="00843A8E">
              <w:rPr>
                <w:rFonts w:cs="Arial"/>
                <w:sz w:val="20"/>
                <w:szCs w:val="20"/>
                <w:lang w:val="en-AU"/>
              </w:rPr>
              <w:t>c</w:t>
            </w:r>
            <w:r w:rsidRPr="00474504">
              <w:rPr>
                <w:rFonts w:cs="Arial"/>
                <w:sz w:val="20"/>
                <w:szCs w:val="20"/>
                <w:lang w:val="en-AU"/>
              </w:rPr>
              <w:t xml:space="preserve">ash </w:t>
            </w:r>
            <w:r w:rsidR="00843A8E">
              <w:rPr>
                <w:rFonts w:cs="Arial"/>
                <w:sz w:val="20"/>
                <w:szCs w:val="20"/>
                <w:lang w:val="en-AU"/>
              </w:rPr>
              <w:t>fl</w:t>
            </w:r>
            <w:r w:rsidRPr="00474504">
              <w:rPr>
                <w:rFonts w:cs="Arial"/>
                <w:sz w:val="20"/>
                <w:szCs w:val="20"/>
                <w:lang w:val="en-AU"/>
              </w:rPr>
              <w:t xml:space="preserve">ow </w:t>
            </w:r>
            <w:r w:rsidR="00843A8E">
              <w:rPr>
                <w:rFonts w:cs="Arial"/>
                <w:sz w:val="20"/>
                <w:szCs w:val="20"/>
                <w:lang w:val="en-AU"/>
              </w:rPr>
              <w:t>b</w:t>
            </w:r>
            <w:r w:rsidRPr="00474504">
              <w:rPr>
                <w:rFonts w:cs="Arial"/>
                <w:sz w:val="20"/>
                <w:szCs w:val="20"/>
                <w:lang w:val="en-AU"/>
              </w:rPr>
              <w:t>oost</w:t>
            </w:r>
          </w:p>
        </w:tc>
        <w:tc>
          <w:tcPr>
            <w:tcW w:w="1276" w:type="dxa"/>
          </w:tcPr>
          <w:p w14:paraId="2F25B14E" w14:textId="156C8BA8" w:rsidR="005440D1" w:rsidRPr="00474504" w:rsidRDefault="005440D1" w:rsidP="008B2A86">
            <w:pPr>
              <w:spacing w:before="0" w:after="0"/>
              <w:ind w:right="133"/>
              <w:jc w:val="center"/>
              <w:rPr>
                <w:rFonts w:cs="Arial"/>
                <w:sz w:val="20"/>
                <w:szCs w:val="20"/>
                <w:lang w:val="en-AU"/>
              </w:rPr>
            </w:pPr>
          </w:p>
        </w:tc>
        <w:tc>
          <w:tcPr>
            <w:tcW w:w="1322" w:type="dxa"/>
          </w:tcPr>
          <w:p w14:paraId="540FBE73" w14:textId="005CB43D" w:rsidR="005440D1" w:rsidRPr="00474504" w:rsidRDefault="005440D1" w:rsidP="008B2A86">
            <w:pPr>
              <w:spacing w:before="0" w:after="0"/>
              <w:ind w:right="133"/>
              <w:jc w:val="center"/>
              <w:rPr>
                <w:rFonts w:cs="Arial"/>
                <w:sz w:val="20"/>
                <w:szCs w:val="20"/>
                <w:lang w:val="en-AU"/>
              </w:rPr>
            </w:pPr>
          </w:p>
        </w:tc>
      </w:tr>
    </w:tbl>
    <w:p w14:paraId="4CEF3849" w14:textId="77777777" w:rsidR="005440D1" w:rsidRPr="00474504" w:rsidRDefault="005440D1" w:rsidP="005440D1">
      <w:pPr>
        <w:spacing w:before="0" w:after="200" w:line="276" w:lineRule="auto"/>
        <w:ind w:right="133"/>
        <w:rPr>
          <w:rFonts w:eastAsia="Times New Roman" w:cs="Arial"/>
          <w:lang w:val="en-AU"/>
        </w:rPr>
      </w:pPr>
    </w:p>
    <w:p w14:paraId="104F34A5" w14:textId="2355F9D2" w:rsidR="005440D1" w:rsidRPr="00474504" w:rsidRDefault="005440D1" w:rsidP="005440D1">
      <w:pPr>
        <w:spacing w:before="0" w:after="200" w:line="276" w:lineRule="auto"/>
        <w:ind w:right="133"/>
        <w:rPr>
          <w:rFonts w:eastAsia="Times New Roman" w:cs="Arial"/>
          <w:lang w:val="en-AU"/>
        </w:rPr>
      </w:pPr>
      <w:r w:rsidRPr="00474504">
        <w:rPr>
          <w:rFonts w:eastAsia="Times New Roman" w:cs="Arial"/>
          <w:lang w:val="en-AU"/>
        </w:rPr>
        <w:t xml:space="preserve">If you have answered </w:t>
      </w:r>
      <w:r w:rsidRPr="00474504">
        <w:rPr>
          <w:rFonts w:eastAsia="Times New Roman" w:cs="Arial"/>
          <w:b/>
          <w:lang w:val="en-AU"/>
        </w:rPr>
        <w:t>yes</w:t>
      </w:r>
      <w:r w:rsidRPr="00474504">
        <w:rPr>
          <w:rFonts w:eastAsia="Times New Roman" w:cs="Arial"/>
          <w:lang w:val="en-AU"/>
        </w:rPr>
        <w:t xml:space="preserve"> to </w:t>
      </w:r>
      <w:r w:rsidR="00843A8E" w:rsidRPr="0041602F">
        <w:rPr>
          <w:rFonts w:eastAsia="Times New Roman" w:cs="Arial"/>
          <w:bCs/>
          <w:lang w:val="en-AU"/>
        </w:rPr>
        <w:t xml:space="preserve">all </w:t>
      </w:r>
      <w:r w:rsidRPr="00474504">
        <w:rPr>
          <w:rFonts w:eastAsia="Times New Roman" w:cs="Arial"/>
          <w:lang w:val="en-AU"/>
        </w:rPr>
        <w:t xml:space="preserve">of the above you </w:t>
      </w:r>
      <w:r w:rsidRPr="0041602F">
        <w:rPr>
          <w:rFonts w:eastAsia="Times New Roman" w:cs="Arial"/>
          <w:bCs/>
          <w:lang w:val="en-AU"/>
        </w:rPr>
        <w:t>may</w:t>
      </w:r>
      <w:r w:rsidRPr="00474504">
        <w:rPr>
          <w:rFonts w:eastAsia="Times New Roman" w:cs="Arial"/>
          <w:lang w:val="en-AU"/>
        </w:rPr>
        <w:t xml:space="preserve"> qualify </w:t>
      </w:r>
      <w:bookmarkStart w:id="0" w:name="_GoBack"/>
      <w:bookmarkEnd w:id="0"/>
      <w:r w:rsidRPr="00474504">
        <w:rPr>
          <w:rFonts w:eastAsia="Times New Roman" w:cs="Arial"/>
          <w:lang w:val="en-AU"/>
        </w:rPr>
        <w:t xml:space="preserve">for the </w:t>
      </w:r>
      <w:r w:rsidR="00843A8E">
        <w:rPr>
          <w:rFonts w:eastAsia="Times New Roman" w:cs="Arial"/>
          <w:lang w:val="en-AU"/>
        </w:rPr>
        <w:t>c</w:t>
      </w:r>
      <w:r w:rsidRPr="00474504">
        <w:rPr>
          <w:rFonts w:eastAsia="Times New Roman" w:cs="Arial"/>
          <w:lang w:val="en-AU"/>
        </w:rPr>
        <w:t xml:space="preserve">ash </w:t>
      </w:r>
      <w:r w:rsidR="00843A8E">
        <w:rPr>
          <w:rFonts w:eastAsia="Times New Roman" w:cs="Arial"/>
          <w:lang w:val="en-AU"/>
        </w:rPr>
        <w:t>f</w:t>
      </w:r>
      <w:r w:rsidRPr="00474504">
        <w:rPr>
          <w:rFonts w:eastAsia="Times New Roman" w:cs="Arial"/>
          <w:lang w:val="en-AU"/>
        </w:rPr>
        <w:t xml:space="preserve">low </w:t>
      </w:r>
      <w:r w:rsidR="00843A8E">
        <w:rPr>
          <w:rFonts w:eastAsia="Times New Roman" w:cs="Arial"/>
          <w:lang w:val="en-AU"/>
        </w:rPr>
        <w:t>b</w:t>
      </w:r>
      <w:r w:rsidRPr="00474504">
        <w:rPr>
          <w:rFonts w:eastAsia="Times New Roman" w:cs="Arial"/>
          <w:lang w:val="en-AU"/>
        </w:rPr>
        <w:t xml:space="preserve">oost </w:t>
      </w:r>
      <w:r w:rsidR="00843A8E">
        <w:rPr>
          <w:rFonts w:eastAsia="Times New Roman" w:cs="Arial"/>
          <w:lang w:val="en-AU"/>
        </w:rPr>
        <w:t>p</w:t>
      </w:r>
      <w:r w:rsidRPr="00474504">
        <w:rPr>
          <w:rFonts w:eastAsia="Times New Roman" w:cs="Arial"/>
          <w:lang w:val="en-AU"/>
        </w:rPr>
        <w:t xml:space="preserve">ayments from the ATO.  We can assist you in </w:t>
      </w:r>
      <w:r w:rsidRPr="0041602F">
        <w:rPr>
          <w:rFonts w:eastAsia="Times New Roman" w:cs="Arial"/>
          <w:bCs/>
          <w:lang w:val="en-AU"/>
        </w:rPr>
        <w:t>confirming</w:t>
      </w:r>
      <w:r w:rsidRPr="00474504">
        <w:rPr>
          <w:rFonts w:eastAsia="Times New Roman" w:cs="Arial"/>
          <w:lang w:val="en-AU"/>
        </w:rPr>
        <w:t xml:space="preserve"> your eligibility and completing all necessary forms. Please contact us as a matter of urgency.</w:t>
      </w:r>
    </w:p>
    <w:p w14:paraId="49A3558A" w14:textId="2EEE7A76" w:rsidR="005440D1" w:rsidRPr="00474504" w:rsidRDefault="005440D1" w:rsidP="005440D1">
      <w:pPr>
        <w:spacing w:before="0" w:after="200" w:line="276" w:lineRule="auto"/>
        <w:ind w:right="133"/>
        <w:rPr>
          <w:rFonts w:eastAsia="Times New Roman" w:cs="Arial"/>
          <w:lang w:val="en-AU"/>
        </w:rPr>
      </w:pPr>
      <w:r w:rsidRPr="00474504">
        <w:rPr>
          <w:rFonts w:eastAsia="Times New Roman" w:cs="Arial"/>
          <w:lang w:val="en-AU"/>
        </w:rPr>
        <w:t xml:space="preserve">If you have answered </w:t>
      </w:r>
      <w:r w:rsidR="00843A8E" w:rsidRPr="0041602F">
        <w:rPr>
          <w:rFonts w:eastAsia="Times New Roman" w:cs="Arial"/>
          <w:b/>
          <w:bCs/>
          <w:lang w:val="en-AU"/>
        </w:rPr>
        <w:t>no</w:t>
      </w:r>
      <w:r w:rsidR="00843A8E">
        <w:rPr>
          <w:rFonts w:eastAsia="Times New Roman" w:cs="Arial"/>
          <w:lang w:val="en-AU"/>
        </w:rPr>
        <w:t xml:space="preserve"> to </w:t>
      </w:r>
      <w:r w:rsidRPr="00474504">
        <w:rPr>
          <w:rFonts w:eastAsia="Times New Roman" w:cs="Arial"/>
          <w:lang w:val="en-AU"/>
        </w:rPr>
        <w:t>any question</w:t>
      </w:r>
      <w:r w:rsidRPr="0041602F">
        <w:rPr>
          <w:rFonts w:eastAsia="Times New Roman" w:cs="Arial"/>
          <w:bCs/>
          <w:lang w:val="en-AU"/>
        </w:rPr>
        <w:t>,</w:t>
      </w:r>
      <w:r w:rsidRPr="00474504">
        <w:rPr>
          <w:rFonts w:eastAsia="Times New Roman" w:cs="Arial"/>
          <w:lang w:val="en-AU"/>
        </w:rPr>
        <w:t xml:space="preserve"> you are unlikely to qualify for the </w:t>
      </w:r>
      <w:r w:rsidR="00843A8E">
        <w:rPr>
          <w:rFonts w:eastAsia="Times New Roman" w:cs="Arial"/>
          <w:lang w:val="en-AU"/>
        </w:rPr>
        <w:t>c</w:t>
      </w:r>
      <w:r w:rsidRPr="00474504">
        <w:rPr>
          <w:rFonts w:eastAsia="Times New Roman" w:cs="Arial"/>
          <w:lang w:val="en-AU"/>
        </w:rPr>
        <w:t xml:space="preserve">ash </w:t>
      </w:r>
      <w:r w:rsidR="00843A8E">
        <w:rPr>
          <w:rFonts w:eastAsia="Times New Roman" w:cs="Arial"/>
          <w:lang w:val="en-AU"/>
        </w:rPr>
        <w:t>f</w:t>
      </w:r>
      <w:r w:rsidRPr="00474504">
        <w:rPr>
          <w:rFonts w:eastAsia="Times New Roman" w:cs="Arial"/>
          <w:lang w:val="en-AU"/>
        </w:rPr>
        <w:t xml:space="preserve">low </w:t>
      </w:r>
      <w:r w:rsidR="00843A8E">
        <w:rPr>
          <w:rFonts w:eastAsia="Times New Roman" w:cs="Arial"/>
          <w:lang w:val="en-AU"/>
        </w:rPr>
        <w:t>b</w:t>
      </w:r>
      <w:r w:rsidRPr="00474504">
        <w:rPr>
          <w:rFonts w:eastAsia="Times New Roman" w:cs="Arial"/>
          <w:lang w:val="en-AU"/>
        </w:rPr>
        <w:t xml:space="preserve">oost </w:t>
      </w:r>
      <w:r w:rsidR="00843A8E">
        <w:rPr>
          <w:rFonts w:eastAsia="Times New Roman" w:cs="Arial"/>
          <w:lang w:val="en-AU"/>
        </w:rPr>
        <w:t>p</w:t>
      </w:r>
      <w:r w:rsidRPr="00474504">
        <w:rPr>
          <w:rFonts w:eastAsia="Times New Roman" w:cs="Arial"/>
          <w:lang w:val="en-AU"/>
        </w:rPr>
        <w:t xml:space="preserve">ayment </w:t>
      </w:r>
      <w:r w:rsidR="00843A8E">
        <w:rPr>
          <w:rFonts w:eastAsia="Times New Roman" w:cs="Arial"/>
          <w:lang w:val="en-AU"/>
        </w:rPr>
        <w:t>s</w:t>
      </w:r>
      <w:r w:rsidRPr="00474504">
        <w:rPr>
          <w:rFonts w:eastAsia="Times New Roman" w:cs="Arial"/>
          <w:lang w:val="en-AU"/>
        </w:rPr>
        <w:t>cheme.</w:t>
      </w:r>
    </w:p>
    <w:sectPr w:rsidR="005440D1" w:rsidRPr="00474504" w:rsidSect="00B9341D">
      <w:headerReference w:type="default" r:id="rId11"/>
      <w:headerReference w:type="first" r:id="rId12"/>
      <w:footerReference w:type="first" r:id="rId13"/>
      <w:pgSz w:w="11900" w:h="16840"/>
      <w:pgMar w:top="1418" w:right="851" w:bottom="1418" w:left="85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B0EA18" w14:textId="77777777" w:rsidR="00236B24" w:rsidRDefault="00236B24" w:rsidP="00E55D40">
      <w:r>
        <w:separator/>
      </w:r>
    </w:p>
  </w:endnote>
  <w:endnote w:type="continuationSeparator" w:id="0">
    <w:p w14:paraId="195E89E7" w14:textId="77777777" w:rsidR="00236B24" w:rsidRDefault="00236B24" w:rsidP="00E55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09422" w14:textId="3B0DBE3A" w:rsidR="004E3466" w:rsidRPr="004E3466" w:rsidRDefault="004A0422" w:rsidP="004E3466">
    <w:pPr>
      <w:rPr>
        <w:rFonts w:cs="Arial"/>
        <w:sz w:val="16"/>
        <w:szCs w:val="16"/>
        <w:lang w:val="en-AU"/>
      </w:rPr>
    </w:pPr>
    <w:r w:rsidRPr="004A0422">
      <w:rPr>
        <w:b/>
        <w:bCs/>
        <w:sz w:val="16"/>
        <w:szCs w:val="16"/>
      </w:rPr>
      <w:t>CPA AUSTRALIA MEMBER ONLY RESOURCE.</w:t>
    </w:r>
    <w:r>
      <w:rPr>
        <w:sz w:val="16"/>
        <w:szCs w:val="16"/>
      </w:rPr>
      <w:t xml:space="preserve"> </w:t>
    </w:r>
    <w:r w:rsidR="004E3466" w:rsidRPr="004E3466">
      <w:rPr>
        <w:sz w:val="16"/>
        <w:szCs w:val="16"/>
      </w:rPr>
      <w:t>By providing this document, we do not warrant or make representations as to the accuracy, completeness, suitability or fitness for purpose of the materials or information contained in this document (Materials) and accepts no responsibility for any acts or omissions made in reliance of the Materials. These Materials have been produced for reference purposes only and are not intended, in part or full, to constitute legal or professional advice. To the extent permitted by the applicable laws in your jurisdiction, we, our employees, agents and consultants exclude all liability for any loss, damage, claim, proceeding and or expense including but not limited to legal costs, indirect special or consequential loss or damage, arising from acts or omissions made in reliance of the Materials. Where any law prohibits the exclusion of such liability, we limit our liability to the resupply of the information.</w:t>
    </w:r>
  </w:p>
  <w:p w14:paraId="6E748E72" w14:textId="77777777" w:rsidR="004E3466" w:rsidRPr="004E3466" w:rsidRDefault="004E3466">
    <w:pPr>
      <w:pStyle w:val="Footer"/>
      <w:rPr>
        <w:lang w:val="en-A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B7B3B" w14:textId="77777777" w:rsidR="00236B24" w:rsidRDefault="00236B24" w:rsidP="00E55D40">
      <w:r>
        <w:separator/>
      </w:r>
    </w:p>
  </w:footnote>
  <w:footnote w:type="continuationSeparator" w:id="0">
    <w:p w14:paraId="16F2C559" w14:textId="77777777" w:rsidR="00236B24" w:rsidRDefault="00236B24" w:rsidP="00E55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2150A" w14:textId="6382E33C" w:rsidR="000A5150" w:rsidRPr="002D7A9A" w:rsidRDefault="000A5150" w:rsidP="00F2582B">
    <w:pPr>
      <w:pStyle w:val="Header"/>
      <w:rPr>
        <w:rStyle w:val="SubtleEmphasis"/>
      </w:rPr>
    </w:pPr>
    <w:r w:rsidRPr="002D7A9A">
      <w:rPr>
        <w:rStyle w:val="SubtleEmphasis"/>
      </w:rPr>
      <w:t xml:space="preserve"> </w:t>
    </w:r>
  </w:p>
  <w:p w14:paraId="5C7E282D" w14:textId="77777777" w:rsidR="000A5150" w:rsidRDefault="000A5150" w:rsidP="00F2582B">
    <w:pPr>
      <w:pStyle w:val="Header"/>
      <w:tabs>
        <w:tab w:val="clear" w:pos="4320"/>
        <w:tab w:val="clear" w:pos="8640"/>
        <w:tab w:val="center" w:pos="509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9970"/>
      <w:gridCol w:w="373"/>
    </w:tblGrid>
    <w:tr w:rsidR="000F54FD" w:rsidRPr="008052F2" w14:paraId="5E686243" w14:textId="77777777" w:rsidTr="000F54FD">
      <w:tc>
        <w:tcPr>
          <w:tcW w:w="5637" w:type="dxa"/>
        </w:tcPr>
        <w:tbl>
          <w:tblPr>
            <w:tblStyle w:val="TableGrid"/>
            <w:tblW w:w="9744" w:type="dxa"/>
            <w:tblLook w:val="04A0" w:firstRow="1" w:lastRow="0" w:firstColumn="1" w:lastColumn="0" w:noHBand="0" w:noVBand="1"/>
          </w:tblPr>
          <w:tblGrid>
            <w:gridCol w:w="6558"/>
            <w:gridCol w:w="3186"/>
          </w:tblGrid>
          <w:tr w:rsidR="00312753" w14:paraId="38A6CE5D" w14:textId="77777777" w:rsidTr="00DA5C48">
            <w:trPr>
              <w:trHeight w:val="1121"/>
            </w:trPr>
            <w:tc>
              <w:tcPr>
                <w:tcW w:w="6558" w:type="dxa"/>
              </w:tcPr>
              <w:p w14:paraId="42955AAF" w14:textId="0DD5D36C" w:rsidR="00312753" w:rsidRPr="00DA5C48" w:rsidRDefault="00312753" w:rsidP="00312753">
                <w:pPr>
                  <w:pStyle w:val="Heading1"/>
                  <w:spacing w:after="0" w:line="276" w:lineRule="auto"/>
                  <w:outlineLvl w:val="0"/>
                  <w:rPr>
                    <w:b/>
                    <w:bCs/>
                    <w:sz w:val="28"/>
                    <w:szCs w:val="28"/>
                  </w:rPr>
                </w:pPr>
                <w:r w:rsidRPr="00DA5C48">
                  <w:rPr>
                    <w:b/>
                    <w:bCs/>
                    <w:sz w:val="28"/>
                    <w:szCs w:val="28"/>
                  </w:rPr>
                  <w:t xml:space="preserve">Boosting </w:t>
                </w:r>
                <w:r w:rsidR="007B5273">
                  <w:rPr>
                    <w:b/>
                    <w:bCs/>
                    <w:sz w:val="28"/>
                    <w:szCs w:val="28"/>
                  </w:rPr>
                  <w:t>c</w:t>
                </w:r>
                <w:r w:rsidRPr="00DA5C48">
                  <w:rPr>
                    <w:b/>
                    <w:bCs/>
                    <w:sz w:val="28"/>
                    <w:szCs w:val="28"/>
                  </w:rPr>
                  <w:t xml:space="preserve">ash </w:t>
                </w:r>
                <w:r w:rsidR="007B5273">
                  <w:rPr>
                    <w:b/>
                    <w:bCs/>
                    <w:sz w:val="28"/>
                    <w:szCs w:val="28"/>
                  </w:rPr>
                  <w:t>f</w:t>
                </w:r>
                <w:r w:rsidRPr="00DA5C48">
                  <w:rPr>
                    <w:b/>
                    <w:bCs/>
                    <w:sz w:val="28"/>
                    <w:szCs w:val="28"/>
                  </w:rPr>
                  <w:t xml:space="preserve">low for </w:t>
                </w:r>
                <w:r w:rsidR="007B5273">
                  <w:rPr>
                    <w:b/>
                    <w:bCs/>
                    <w:sz w:val="28"/>
                    <w:szCs w:val="28"/>
                  </w:rPr>
                  <w:t>b</w:t>
                </w:r>
                <w:r w:rsidRPr="00DA5C48">
                  <w:rPr>
                    <w:b/>
                    <w:bCs/>
                    <w:sz w:val="28"/>
                    <w:szCs w:val="28"/>
                  </w:rPr>
                  <w:t>usiness</w:t>
                </w:r>
              </w:p>
              <w:p w14:paraId="381C6422" w14:textId="040B9454" w:rsidR="00312753" w:rsidRPr="00DA5C48" w:rsidRDefault="007B5273" w:rsidP="00312753">
                <w:pPr>
                  <w:pStyle w:val="Heading1"/>
                  <w:spacing w:before="0" w:after="0" w:line="276" w:lineRule="auto"/>
                  <w:outlineLvl w:val="0"/>
                  <w:rPr>
                    <w:b/>
                    <w:bCs/>
                  </w:rPr>
                </w:pPr>
                <w:r>
                  <w:rPr>
                    <w:b/>
                    <w:bCs/>
                    <w:sz w:val="28"/>
                    <w:szCs w:val="28"/>
                  </w:rPr>
                  <w:t>f</w:t>
                </w:r>
                <w:r w:rsidR="00312753" w:rsidRPr="00DA5C48">
                  <w:rPr>
                    <w:b/>
                    <w:bCs/>
                    <w:sz w:val="28"/>
                    <w:szCs w:val="28"/>
                  </w:rPr>
                  <w:t xml:space="preserve">act </w:t>
                </w:r>
                <w:r>
                  <w:rPr>
                    <w:b/>
                    <w:bCs/>
                    <w:sz w:val="28"/>
                    <w:szCs w:val="28"/>
                  </w:rPr>
                  <w:t>s</w:t>
                </w:r>
                <w:r w:rsidR="00312753" w:rsidRPr="00DA5C48">
                  <w:rPr>
                    <w:b/>
                    <w:bCs/>
                    <w:sz w:val="28"/>
                    <w:szCs w:val="28"/>
                  </w:rPr>
                  <w:t xml:space="preserve">heet </w:t>
                </w:r>
                <w:r>
                  <w:rPr>
                    <w:b/>
                    <w:bCs/>
                    <w:sz w:val="28"/>
                    <w:szCs w:val="28"/>
                  </w:rPr>
                  <w:t>– a</w:t>
                </w:r>
                <w:r w:rsidR="00312753" w:rsidRPr="00DA5C48">
                  <w:rPr>
                    <w:b/>
                    <w:bCs/>
                    <w:sz w:val="28"/>
                    <w:szCs w:val="28"/>
                  </w:rPr>
                  <w:t xml:space="preserve">re you </w:t>
                </w:r>
                <w:r>
                  <w:rPr>
                    <w:b/>
                    <w:bCs/>
                    <w:sz w:val="28"/>
                    <w:szCs w:val="28"/>
                  </w:rPr>
                  <w:t>e</w:t>
                </w:r>
                <w:r w:rsidR="00312753" w:rsidRPr="00DA5C48">
                  <w:rPr>
                    <w:b/>
                    <w:bCs/>
                    <w:sz w:val="28"/>
                    <w:szCs w:val="28"/>
                  </w:rPr>
                  <w:t>ligible?</w:t>
                </w:r>
              </w:p>
            </w:tc>
            <w:tc>
              <w:tcPr>
                <w:tcW w:w="3186" w:type="dxa"/>
              </w:tcPr>
              <w:p w14:paraId="343A38EE" w14:textId="14B1DA71" w:rsidR="00312753" w:rsidRPr="00DA5C48" w:rsidRDefault="00312753" w:rsidP="005440D1">
                <w:pPr>
                  <w:pStyle w:val="Heading1"/>
                  <w:spacing w:after="0"/>
                  <w:outlineLvl w:val="0"/>
                  <w:rPr>
                    <w:sz w:val="18"/>
                    <w:szCs w:val="18"/>
                  </w:rPr>
                </w:pPr>
                <w:r w:rsidRPr="00DA5C48">
                  <w:rPr>
                    <w:i/>
                    <w:iCs/>
                    <w:color w:val="808080" w:themeColor="background1" w:themeShade="80"/>
                    <w:sz w:val="18"/>
                    <w:szCs w:val="18"/>
                  </w:rPr>
                  <w:t xml:space="preserve">Insert </w:t>
                </w:r>
                <w:r w:rsidR="007B5273">
                  <w:rPr>
                    <w:i/>
                    <w:iCs/>
                    <w:color w:val="808080" w:themeColor="background1" w:themeShade="80"/>
                    <w:sz w:val="18"/>
                    <w:szCs w:val="18"/>
                  </w:rPr>
                  <w:t>y</w:t>
                </w:r>
                <w:r w:rsidRPr="00DA5C48">
                  <w:rPr>
                    <w:i/>
                    <w:iCs/>
                    <w:color w:val="808080" w:themeColor="background1" w:themeShade="80"/>
                    <w:sz w:val="18"/>
                    <w:szCs w:val="18"/>
                  </w:rPr>
                  <w:t>our</w:t>
                </w:r>
                <w:r w:rsidR="007B5273">
                  <w:rPr>
                    <w:i/>
                    <w:iCs/>
                    <w:color w:val="808080" w:themeColor="background1" w:themeShade="80"/>
                    <w:sz w:val="18"/>
                    <w:szCs w:val="18"/>
                  </w:rPr>
                  <w:t xml:space="preserve"> f</w:t>
                </w:r>
                <w:r w:rsidRPr="00DA5C48">
                  <w:rPr>
                    <w:i/>
                    <w:iCs/>
                    <w:color w:val="808080" w:themeColor="background1" w:themeShade="80"/>
                    <w:sz w:val="18"/>
                    <w:szCs w:val="18"/>
                  </w:rPr>
                  <w:t xml:space="preserve">irm </w:t>
                </w:r>
                <w:r w:rsidR="007B5273">
                  <w:rPr>
                    <w:i/>
                    <w:iCs/>
                    <w:color w:val="808080" w:themeColor="background1" w:themeShade="80"/>
                    <w:sz w:val="18"/>
                    <w:szCs w:val="18"/>
                  </w:rPr>
                  <w:t>d</w:t>
                </w:r>
                <w:r w:rsidRPr="00DA5C48">
                  <w:rPr>
                    <w:i/>
                    <w:iCs/>
                    <w:color w:val="808080" w:themeColor="background1" w:themeShade="80"/>
                    <w:sz w:val="18"/>
                    <w:szCs w:val="18"/>
                  </w:rPr>
                  <w:t>etails</w:t>
                </w:r>
                <w:r w:rsidRPr="00DA5C48">
                  <w:rPr>
                    <w:i/>
                    <w:iCs/>
                    <w:color w:val="808080" w:themeColor="background1" w:themeShade="80"/>
                    <w:sz w:val="18"/>
                    <w:szCs w:val="18"/>
                  </w:rPr>
                  <w:br/>
                </w:r>
                <w:r w:rsidR="007B5273">
                  <w:rPr>
                    <w:i/>
                    <w:iCs/>
                    <w:color w:val="808080" w:themeColor="background1" w:themeShade="80"/>
                    <w:sz w:val="18"/>
                    <w:szCs w:val="18"/>
                  </w:rPr>
                  <w:t>Insert c</w:t>
                </w:r>
                <w:r w:rsidRPr="00DA5C48">
                  <w:rPr>
                    <w:i/>
                    <w:iCs/>
                    <w:color w:val="808080" w:themeColor="background1" w:themeShade="80"/>
                    <w:sz w:val="18"/>
                    <w:szCs w:val="18"/>
                  </w:rPr>
                  <w:t xml:space="preserve">ontact </w:t>
                </w:r>
                <w:r w:rsidR="007B5273">
                  <w:rPr>
                    <w:i/>
                    <w:iCs/>
                    <w:color w:val="808080" w:themeColor="background1" w:themeShade="80"/>
                    <w:sz w:val="18"/>
                    <w:szCs w:val="18"/>
                  </w:rPr>
                  <w:t>d</w:t>
                </w:r>
                <w:r w:rsidRPr="00DA5C48">
                  <w:rPr>
                    <w:i/>
                    <w:iCs/>
                    <w:color w:val="808080" w:themeColor="background1" w:themeShade="80"/>
                    <w:sz w:val="18"/>
                    <w:szCs w:val="18"/>
                  </w:rPr>
                  <w:t>etails</w:t>
                </w:r>
              </w:p>
            </w:tc>
          </w:tr>
        </w:tbl>
        <w:p w14:paraId="7A7AA5FE" w14:textId="52708B1B" w:rsidR="000F54FD" w:rsidRPr="000F54FD" w:rsidRDefault="000F54FD" w:rsidP="005440D1">
          <w:pPr>
            <w:pStyle w:val="Heading1"/>
            <w:spacing w:before="0" w:after="0"/>
            <w:outlineLvl w:val="0"/>
          </w:pPr>
        </w:p>
      </w:tc>
      <w:tc>
        <w:tcPr>
          <w:tcW w:w="4706" w:type="dxa"/>
        </w:tcPr>
        <w:p w14:paraId="4E3EE873" w14:textId="23DAA531" w:rsidR="000F54FD" w:rsidRPr="005440D1" w:rsidRDefault="000F54FD" w:rsidP="000F54FD">
          <w:pPr>
            <w:pStyle w:val="Heading2"/>
            <w:outlineLvl w:val="1"/>
            <w:rPr>
              <w:i/>
              <w:iCs/>
              <w:sz w:val="28"/>
              <w:szCs w:val="28"/>
            </w:rPr>
          </w:pPr>
        </w:p>
      </w:tc>
    </w:tr>
  </w:tbl>
  <w:p w14:paraId="77BBBC0D" w14:textId="796A346C" w:rsidR="000A5150" w:rsidRPr="002D7A9A" w:rsidRDefault="00B9341D" w:rsidP="00B9341D">
    <w:pPr>
      <w:pStyle w:val="Header"/>
      <w:tabs>
        <w:tab w:val="clear" w:pos="4320"/>
        <w:tab w:val="clear" w:pos="8640"/>
        <w:tab w:val="left" w:pos="2311"/>
      </w:tabs>
      <w:rPr>
        <w:rStyle w:val="SubtleEmphasis"/>
      </w:rPr>
    </w:pPr>
    <w:r>
      <w:rPr>
        <w:rStyle w:val="SubtleEmphasi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C57"/>
    <w:multiLevelType w:val="hybridMultilevel"/>
    <w:tmpl w:val="CA2A5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0A1AFC"/>
    <w:multiLevelType w:val="hybridMultilevel"/>
    <w:tmpl w:val="3EA0F0E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C34568"/>
    <w:multiLevelType w:val="hybridMultilevel"/>
    <w:tmpl w:val="2A8A46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F05547D"/>
    <w:multiLevelType w:val="hybridMultilevel"/>
    <w:tmpl w:val="261A1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344EBE"/>
    <w:multiLevelType w:val="hybridMultilevel"/>
    <w:tmpl w:val="D9AAFE90"/>
    <w:lvl w:ilvl="0" w:tplc="78DC3192">
      <w:start w:val="1"/>
      <w:numFmt w:val="decimal"/>
      <w:lvlText w:val="%1."/>
      <w:lvlJc w:val="left"/>
      <w:pPr>
        <w:ind w:left="360" w:hanging="360"/>
      </w:pPr>
      <w:rPr>
        <w:rFonts w:eastAsia="MS Gothic" w:cs="Times New Roman" w:hint="default"/>
        <w:b/>
        <w:sz w:val="20"/>
      </w:rPr>
    </w:lvl>
    <w:lvl w:ilvl="1" w:tplc="0C090019" w:tentative="1">
      <w:start w:val="1"/>
      <w:numFmt w:val="lowerLetter"/>
      <w:lvlText w:val="%2."/>
      <w:lvlJc w:val="left"/>
      <w:pPr>
        <w:ind w:left="730" w:hanging="360"/>
      </w:pPr>
    </w:lvl>
    <w:lvl w:ilvl="2" w:tplc="0C09001B" w:tentative="1">
      <w:start w:val="1"/>
      <w:numFmt w:val="lowerRoman"/>
      <w:lvlText w:val="%3."/>
      <w:lvlJc w:val="right"/>
      <w:pPr>
        <w:ind w:left="1450" w:hanging="180"/>
      </w:pPr>
    </w:lvl>
    <w:lvl w:ilvl="3" w:tplc="0C09000F" w:tentative="1">
      <w:start w:val="1"/>
      <w:numFmt w:val="decimal"/>
      <w:lvlText w:val="%4."/>
      <w:lvlJc w:val="left"/>
      <w:pPr>
        <w:ind w:left="2170" w:hanging="360"/>
      </w:pPr>
    </w:lvl>
    <w:lvl w:ilvl="4" w:tplc="0C090019" w:tentative="1">
      <w:start w:val="1"/>
      <w:numFmt w:val="lowerLetter"/>
      <w:lvlText w:val="%5."/>
      <w:lvlJc w:val="left"/>
      <w:pPr>
        <w:ind w:left="2890" w:hanging="360"/>
      </w:pPr>
    </w:lvl>
    <w:lvl w:ilvl="5" w:tplc="0C09001B" w:tentative="1">
      <w:start w:val="1"/>
      <w:numFmt w:val="lowerRoman"/>
      <w:lvlText w:val="%6."/>
      <w:lvlJc w:val="right"/>
      <w:pPr>
        <w:ind w:left="3610" w:hanging="180"/>
      </w:pPr>
    </w:lvl>
    <w:lvl w:ilvl="6" w:tplc="0C09000F" w:tentative="1">
      <w:start w:val="1"/>
      <w:numFmt w:val="decimal"/>
      <w:lvlText w:val="%7."/>
      <w:lvlJc w:val="left"/>
      <w:pPr>
        <w:ind w:left="4330" w:hanging="360"/>
      </w:pPr>
    </w:lvl>
    <w:lvl w:ilvl="7" w:tplc="0C090019" w:tentative="1">
      <w:start w:val="1"/>
      <w:numFmt w:val="lowerLetter"/>
      <w:lvlText w:val="%8."/>
      <w:lvlJc w:val="left"/>
      <w:pPr>
        <w:ind w:left="5050" w:hanging="360"/>
      </w:pPr>
    </w:lvl>
    <w:lvl w:ilvl="8" w:tplc="0C09001B" w:tentative="1">
      <w:start w:val="1"/>
      <w:numFmt w:val="lowerRoman"/>
      <w:lvlText w:val="%9."/>
      <w:lvlJc w:val="right"/>
      <w:pPr>
        <w:ind w:left="5770" w:hanging="180"/>
      </w:pPr>
    </w:lvl>
  </w:abstractNum>
  <w:abstractNum w:abstractNumId="5" w15:restartNumberingAfterBreak="0">
    <w:nsid w:val="183D1133"/>
    <w:multiLevelType w:val="hybridMultilevel"/>
    <w:tmpl w:val="FDAC58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BA4C4E"/>
    <w:multiLevelType w:val="hybridMultilevel"/>
    <w:tmpl w:val="7852556A"/>
    <w:lvl w:ilvl="0" w:tplc="0C090001">
      <w:start w:val="1"/>
      <w:numFmt w:val="bullet"/>
      <w:lvlText w:val=""/>
      <w:lvlJc w:val="left"/>
      <w:pPr>
        <w:ind w:left="720" w:hanging="360"/>
      </w:pPr>
      <w:rPr>
        <w:rFonts w:ascii="Symbol" w:hAnsi="Symbol" w:hint="default"/>
        <w:b/>
        <w:sz w:val="20"/>
      </w:rPr>
    </w:lvl>
    <w:lvl w:ilvl="1" w:tplc="0C090019" w:tentative="1">
      <w:start w:val="1"/>
      <w:numFmt w:val="lowerLetter"/>
      <w:lvlText w:val="%2."/>
      <w:lvlJc w:val="left"/>
      <w:pPr>
        <w:ind w:left="1090" w:hanging="360"/>
      </w:pPr>
    </w:lvl>
    <w:lvl w:ilvl="2" w:tplc="0C09001B" w:tentative="1">
      <w:start w:val="1"/>
      <w:numFmt w:val="lowerRoman"/>
      <w:lvlText w:val="%3."/>
      <w:lvlJc w:val="right"/>
      <w:pPr>
        <w:ind w:left="1810" w:hanging="180"/>
      </w:pPr>
    </w:lvl>
    <w:lvl w:ilvl="3" w:tplc="0C09000F" w:tentative="1">
      <w:start w:val="1"/>
      <w:numFmt w:val="decimal"/>
      <w:lvlText w:val="%4."/>
      <w:lvlJc w:val="left"/>
      <w:pPr>
        <w:ind w:left="2530" w:hanging="360"/>
      </w:pPr>
    </w:lvl>
    <w:lvl w:ilvl="4" w:tplc="0C090019" w:tentative="1">
      <w:start w:val="1"/>
      <w:numFmt w:val="lowerLetter"/>
      <w:lvlText w:val="%5."/>
      <w:lvlJc w:val="left"/>
      <w:pPr>
        <w:ind w:left="3250" w:hanging="360"/>
      </w:pPr>
    </w:lvl>
    <w:lvl w:ilvl="5" w:tplc="0C09001B" w:tentative="1">
      <w:start w:val="1"/>
      <w:numFmt w:val="lowerRoman"/>
      <w:lvlText w:val="%6."/>
      <w:lvlJc w:val="right"/>
      <w:pPr>
        <w:ind w:left="3970" w:hanging="180"/>
      </w:pPr>
    </w:lvl>
    <w:lvl w:ilvl="6" w:tplc="0C09000F" w:tentative="1">
      <w:start w:val="1"/>
      <w:numFmt w:val="decimal"/>
      <w:lvlText w:val="%7."/>
      <w:lvlJc w:val="left"/>
      <w:pPr>
        <w:ind w:left="4690" w:hanging="360"/>
      </w:pPr>
    </w:lvl>
    <w:lvl w:ilvl="7" w:tplc="0C090019" w:tentative="1">
      <w:start w:val="1"/>
      <w:numFmt w:val="lowerLetter"/>
      <w:lvlText w:val="%8."/>
      <w:lvlJc w:val="left"/>
      <w:pPr>
        <w:ind w:left="5410" w:hanging="360"/>
      </w:pPr>
    </w:lvl>
    <w:lvl w:ilvl="8" w:tplc="0C09001B" w:tentative="1">
      <w:start w:val="1"/>
      <w:numFmt w:val="lowerRoman"/>
      <w:lvlText w:val="%9."/>
      <w:lvlJc w:val="right"/>
      <w:pPr>
        <w:ind w:left="6130" w:hanging="180"/>
      </w:pPr>
    </w:lvl>
  </w:abstractNum>
  <w:abstractNum w:abstractNumId="7" w15:restartNumberingAfterBreak="0">
    <w:nsid w:val="1C657923"/>
    <w:multiLevelType w:val="hybridMultilevel"/>
    <w:tmpl w:val="5FBABB82"/>
    <w:lvl w:ilvl="0" w:tplc="F2148138">
      <w:start w:val="1"/>
      <w:numFmt w:val="bullet"/>
      <w:pStyle w:val="ListParagraph"/>
      <w:lvlText w:val=""/>
      <w:lvlJc w:val="left"/>
      <w:pPr>
        <w:tabs>
          <w:tab w:val="num" w:pos="284"/>
        </w:tabs>
        <w:ind w:left="284" w:hanging="284"/>
      </w:pPr>
      <w:rPr>
        <w:rFonts w:ascii="Symbol" w:hAnsi="Symbol" w:hint="default"/>
        <w:color w:val="21314D"/>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9117D"/>
    <w:multiLevelType w:val="hybridMultilevel"/>
    <w:tmpl w:val="D9AAFE90"/>
    <w:lvl w:ilvl="0" w:tplc="78DC3192">
      <w:start w:val="1"/>
      <w:numFmt w:val="decimal"/>
      <w:lvlText w:val="%1."/>
      <w:lvlJc w:val="left"/>
      <w:pPr>
        <w:ind w:left="360" w:hanging="360"/>
      </w:pPr>
      <w:rPr>
        <w:rFonts w:eastAsia="MS Gothic" w:cs="Times New Roman" w:hint="default"/>
        <w:b/>
        <w:sz w:val="20"/>
      </w:rPr>
    </w:lvl>
    <w:lvl w:ilvl="1" w:tplc="0C090019" w:tentative="1">
      <w:start w:val="1"/>
      <w:numFmt w:val="lowerLetter"/>
      <w:lvlText w:val="%2."/>
      <w:lvlJc w:val="left"/>
      <w:pPr>
        <w:ind w:left="730" w:hanging="360"/>
      </w:pPr>
    </w:lvl>
    <w:lvl w:ilvl="2" w:tplc="0C09001B" w:tentative="1">
      <w:start w:val="1"/>
      <w:numFmt w:val="lowerRoman"/>
      <w:lvlText w:val="%3."/>
      <w:lvlJc w:val="right"/>
      <w:pPr>
        <w:ind w:left="1450" w:hanging="180"/>
      </w:pPr>
    </w:lvl>
    <w:lvl w:ilvl="3" w:tplc="0C09000F" w:tentative="1">
      <w:start w:val="1"/>
      <w:numFmt w:val="decimal"/>
      <w:lvlText w:val="%4."/>
      <w:lvlJc w:val="left"/>
      <w:pPr>
        <w:ind w:left="2170" w:hanging="360"/>
      </w:pPr>
    </w:lvl>
    <w:lvl w:ilvl="4" w:tplc="0C090019" w:tentative="1">
      <w:start w:val="1"/>
      <w:numFmt w:val="lowerLetter"/>
      <w:lvlText w:val="%5."/>
      <w:lvlJc w:val="left"/>
      <w:pPr>
        <w:ind w:left="2890" w:hanging="360"/>
      </w:pPr>
    </w:lvl>
    <w:lvl w:ilvl="5" w:tplc="0C09001B" w:tentative="1">
      <w:start w:val="1"/>
      <w:numFmt w:val="lowerRoman"/>
      <w:lvlText w:val="%6."/>
      <w:lvlJc w:val="right"/>
      <w:pPr>
        <w:ind w:left="3610" w:hanging="180"/>
      </w:pPr>
    </w:lvl>
    <w:lvl w:ilvl="6" w:tplc="0C09000F" w:tentative="1">
      <w:start w:val="1"/>
      <w:numFmt w:val="decimal"/>
      <w:lvlText w:val="%7."/>
      <w:lvlJc w:val="left"/>
      <w:pPr>
        <w:ind w:left="4330" w:hanging="360"/>
      </w:pPr>
    </w:lvl>
    <w:lvl w:ilvl="7" w:tplc="0C090019" w:tentative="1">
      <w:start w:val="1"/>
      <w:numFmt w:val="lowerLetter"/>
      <w:lvlText w:val="%8."/>
      <w:lvlJc w:val="left"/>
      <w:pPr>
        <w:ind w:left="5050" w:hanging="360"/>
      </w:pPr>
    </w:lvl>
    <w:lvl w:ilvl="8" w:tplc="0C09001B" w:tentative="1">
      <w:start w:val="1"/>
      <w:numFmt w:val="lowerRoman"/>
      <w:lvlText w:val="%9."/>
      <w:lvlJc w:val="right"/>
      <w:pPr>
        <w:ind w:left="5770" w:hanging="180"/>
      </w:pPr>
    </w:lvl>
  </w:abstractNum>
  <w:abstractNum w:abstractNumId="9" w15:restartNumberingAfterBreak="0">
    <w:nsid w:val="22C87EBD"/>
    <w:multiLevelType w:val="hybridMultilevel"/>
    <w:tmpl w:val="D7D0DC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A3E5A68"/>
    <w:multiLevelType w:val="hybridMultilevel"/>
    <w:tmpl w:val="44143742"/>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1" w15:restartNumberingAfterBreak="0">
    <w:nsid w:val="339C1938"/>
    <w:multiLevelType w:val="hybridMultilevel"/>
    <w:tmpl w:val="41945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91652F7"/>
    <w:multiLevelType w:val="hybridMultilevel"/>
    <w:tmpl w:val="DF0AFE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FEC055B"/>
    <w:multiLevelType w:val="hybridMultilevel"/>
    <w:tmpl w:val="8D3A8FE4"/>
    <w:lvl w:ilvl="0" w:tplc="61E61AAC">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4E54BF6"/>
    <w:multiLevelType w:val="hybridMultilevel"/>
    <w:tmpl w:val="DD3CFC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6E135CA"/>
    <w:multiLevelType w:val="hybridMultilevel"/>
    <w:tmpl w:val="8AF417D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6" w15:restartNumberingAfterBreak="0">
    <w:nsid w:val="5B5E6CF2"/>
    <w:multiLevelType w:val="hybridMultilevel"/>
    <w:tmpl w:val="D9AAFE90"/>
    <w:lvl w:ilvl="0" w:tplc="78DC3192">
      <w:start w:val="1"/>
      <w:numFmt w:val="decimal"/>
      <w:lvlText w:val="%1."/>
      <w:lvlJc w:val="left"/>
      <w:pPr>
        <w:ind w:left="1070" w:hanging="360"/>
      </w:pPr>
      <w:rPr>
        <w:rFonts w:eastAsia="MS Gothic" w:cs="Times New Roman" w:hint="default"/>
        <w:b/>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5B6F6959"/>
    <w:multiLevelType w:val="hybridMultilevel"/>
    <w:tmpl w:val="D9AAFE90"/>
    <w:lvl w:ilvl="0" w:tplc="78DC3192">
      <w:start w:val="1"/>
      <w:numFmt w:val="decimal"/>
      <w:lvlText w:val="%1."/>
      <w:lvlJc w:val="left"/>
      <w:pPr>
        <w:ind w:left="360" w:hanging="360"/>
      </w:pPr>
      <w:rPr>
        <w:rFonts w:eastAsia="MS Gothic" w:cs="Times New Roman" w:hint="default"/>
        <w:b/>
        <w:sz w:val="20"/>
      </w:rPr>
    </w:lvl>
    <w:lvl w:ilvl="1" w:tplc="0C090019" w:tentative="1">
      <w:start w:val="1"/>
      <w:numFmt w:val="lowerLetter"/>
      <w:lvlText w:val="%2."/>
      <w:lvlJc w:val="left"/>
      <w:pPr>
        <w:ind w:left="730" w:hanging="360"/>
      </w:pPr>
    </w:lvl>
    <w:lvl w:ilvl="2" w:tplc="0C09001B" w:tentative="1">
      <w:start w:val="1"/>
      <w:numFmt w:val="lowerRoman"/>
      <w:lvlText w:val="%3."/>
      <w:lvlJc w:val="right"/>
      <w:pPr>
        <w:ind w:left="1450" w:hanging="180"/>
      </w:pPr>
    </w:lvl>
    <w:lvl w:ilvl="3" w:tplc="0C09000F" w:tentative="1">
      <w:start w:val="1"/>
      <w:numFmt w:val="decimal"/>
      <w:lvlText w:val="%4."/>
      <w:lvlJc w:val="left"/>
      <w:pPr>
        <w:ind w:left="2170" w:hanging="360"/>
      </w:pPr>
    </w:lvl>
    <w:lvl w:ilvl="4" w:tplc="0C090019" w:tentative="1">
      <w:start w:val="1"/>
      <w:numFmt w:val="lowerLetter"/>
      <w:lvlText w:val="%5."/>
      <w:lvlJc w:val="left"/>
      <w:pPr>
        <w:ind w:left="2890" w:hanging="360"/>
      </w:pPr>
    </w:lvl>
    <w:lvl w:ilvl="5" w:tplc="0C09001B" w:tentative="1">
      <w:start w:val="1"/>
      <w:numFmt w:val="lowerRoman"/>
      <w:lvlText w:val="%6."/>
      <w:lvlJc w:val="right"/>
      <w:pPr>
        <w:ind w:left="3610" w:hanging="180"/>
      </w:pPr>
    </w:lvl>
    <w:lvl w:ilvl="6" w:tplc="0C09000F" w:tentative="1">
      <w:start w:val="1"/>
      <w:numFmt w:val="decimal"/>
      <w:lvlText w:val="%7."/>
      <w:lvlJc w:val="left"/>
      <w:pPr>
        <w:ind w:left="4330" w:hanging="360"/>
      </w:pPr>
    </w:lvl>
    <w:lvl w:ilvl="7" w:tplc="0C090019" w:tentative="1">
      <w:start w:val="1"/>
      <w:numFmt w:val="lowerLetter"/>
      <w:lvlText w:val="%8."/>
      <w:lvlJc w:val="left"/>
      <w:pPr>
        <w:ind w:left="5050" w:hanging="360"/>
      </w:pPr>
    </w:lvl>
    <w:lvl w:ilvl="8" w:tplc="0C09001B" w:tentative="1">
      <w:start w:val="1"/>
      <w:numFmt w:val="lowerRoman"/>
      <w:lvlText w:val="%9."/>
      <w:lvlJc w:val="right"/>
      <w:pPr>
        <w:ind w:left="5770" w:hanging="180"/>
      </w:pPr>
    </w:lvl>
  </w:abstractNum>
  <w:abstractNum w:abstractNumId="18" w15:restartNumberingAfterBreak="0">
    <w:nsid w:val="5CBF593A"/>
    <w:multiLevelType w:val="hybridMultilevel"/>
    <w:tmpl w:val="8312A7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1856B74"/>
    <w:multiLevelType w:val="hybridMultilevel"/>
    <w:tmpl w:val="031222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0" w15:restartNumberingAfterBreak="0">
    <w:nsid w:val="64C77C18"/>
    <w:multiLevelType w:val="hybridMultilevel"/>
    <w:tmpl w:val="10AA96C0"/>
    <w:lvl w:ilvl="0" w:tplc="0C090001">
      <w:start w:val="1"/>
      <w:numFmt w:val="bullet"/>
      <w:lvlText w:val=""/>
      <w:lvlJc w:val="left"/>
      <w:pPr>
        <w:ind w:left="1440" w:hanging="720"/>
      </w:pPr>
      <w:rPr>
        <w:rFonts w:ascii="Symbol" w:hAnsi="Symbol"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abstractNum w:abstractNumId="21" w15:restartNumberingAfterBreak="0">
    <w:nsid w:val="64D16E9B"/>
    <w:multiLevelType w:val="hybridMultilevel"/>
    <w:tmpl w:val="E0B400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78F193D"/>
    <w:multiLevelType w:val="hybridMultilevel"/>
    <w:tmpl w:val="EB5260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9E12DBD"/>
    <w:multiLevelType w:val="hybridMultilevel"/>
    <w:tmpl w:val="EDE286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E6B3D86"/>
    <w:multiLevelType w:val="hybridMultilevel"/>
    <w:tmpl w:val="715C79C2"/>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5" w15:restartNumberingAfterBreak="0">
    <w:nsid w:val="726C5E02"/>
    <w:multiLevelType w:val="hybridMultilevel"/>
    <w:tmpl w:val="F4B467F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75133CE5"/>
    <w:multiLevelType w:val="hybridMultilevel"/>
    <w:tmpl w:val="DFA41616"/>
    <w:lvl w:ilvl="0" w:tplc="FFFFFFFF">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6944ACD"/>
    <w:multiLevelType w:val="hybridMultilevel"/>
    <w:tmpl w:val="9D705C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7BC2961"/>
    <w:multiLevelType w:val="hybridMultilevel"/>
    <w:tmpl w:val="71401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8535679"/>
    <w:multiLevelType w:val="hybridMultilevel"/>
    <w:tmpl w:val="56AA44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8762A45"/>
    <w:multiLevelType w:val="hybridMultilevel"/>
    <w:tmpl w:val="9F2E2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C7454C2"/>
    <w:multiLevelType w:val="hybridMultilevel"/>
    <w:tmpl w:val="654448F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D2E219B"/>
    <w:multiLevelType w:val="hybridMultilevel"/>
    <w:tmpl w:val="BA04DF2C"/>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num w:numId="1">
    <w:abstractNumId w:val="7"/>
  </w:num>
  <w:num w:numId="2">
    <w:abstractNumId w:val="1"/>
  </w:num>
  <w:num w:numId="3">
    <w:abstractNumId w:val="31"/>
  </w:num>
  <w:num w:numId="4">
    <w:abstractNumId w:val="26"/>
  </w:num>
  <w:num w:numId="5">
    <w:abstractNumId w:val="3"/>
  </w:num>
  <w:num w:numId="6">
    <w:abstractNumId w:val="11"/>
  </w:num>
  <w:num w:numId="7">
    <w:abstractNumId w:val="13"/>
  </w:num>
  <w:num w:numId="8">
    <w:abstractNumId w:val="12"/>
  </w:num>
  <w:num w:numId="9">
    <w:abstractNumId w:val="2"/>
  </w:num>
  <w:num w:numId="10">
    <w:abstractNumId w:val="25"/>
  </w:num>
  <w:num w:numId="11">
    <w:abstractNumId w:val="29"/>
  </w:num>
  <w:num w:numId="12">
    <w:abstractNumId w:val="16"/>
  </w:num>
  <w:num w:numId="13">
    <w:abstractNumId w:val="4"/>
  </w:num>
  <w:num w:numId="14">
    <w:abstractNumId w:val="6"/>
  </w:num>
  <w:num w:numId="15">
    <w:abstractNumId w:val="8"/>
  </w:num>
  <w:num w:numId="16">
    <w:abstractNumId w:val="17"/>
  </w:num>
  <w:num w:numId="17">
    <w:abstractNumId w:val="24"/>
  </w:num>
  <w:num w:numId="18">
    <w:abstractNumId w:val="32"/>
  </w:num>
  <w:num w:numId="19">
    <w:abstractNumId w:val="15"/>
  </w:num>
  <w:num w:numId="20">
    <w:abstractNumId w:val="28"/>
  </w:num>
  <w:num w:numId="21">
    <w:abstractNumId w:val="19"/>
  </w:num>
  <w:num w:numId="22">
    <w:abstractNumId w:val="27"/>
  </w:num>
  <w:num w:numId="23">
    <w:abstractNumId w:val="22"/>
  </w:num>
  <w:num w:numId="24">
    <w:abstractNumId w:val="5"/>
  </w:num>
  <w:num w:numId="25">
    <w:abstractNumId w:val="0"/>
  </w:num>
  <w:num w:numId="26">
    <w:abstractNumId w:val="21"/>
  </w:num>
  <w:num w:numId="27">
    <w:abstractNumId w:val="23"/>
  </w:num>
  <w:num w:numId="28">
    <w:abstractNumId w:val="18"/>
  </w:num>
  <w:num w:numId="29">
    <w:abstractNumId w:val="10"/>
  </w:num>
  <w:num w:numId="30">
    <w:abstractNumId w:val="20"/>
  </w:num>
  <w:num w:numId="31">
    <w:abstractNumId w:val="14"/>
  </w:num>
  <w:num w:numId="32">
    <w:abstractNumId w:val="9"/>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DAE"/>
    <w:rsid w:val="00004327"/>
    <w:rsid w:val="00044093"/>
    <w:rsid w:val="00060FFA"/>
    <w:rsid w:val="0007474D"/>
    <w:rsid w:val="00085B43"/>
    <w:rsid w:val="000A214B"/>
    <w:rsid w:val="000A5150"/>
    <w:rsid w:val="000F342A"/>
    <w:rsid w:val="000F54FD"/>
    <w:rsid w:val="00106CA5"/>
    <w:rsid w:val="00114F8D"/>
    <w:rsid w:val="00146205"/>
    <w:rsid w:val="0016155F"/>
    <w:rsid w:val="00175AE3"/>
    <w:rsid w:val="001928E8"/>
    <w:rsid w:val="001C0743"/>
    <w:rsid w:val="001C0FF6"/>
    <w:rsid w:val="001D2492"/>
    <w:rsid w:val="001D29A6"/>
    <w:rsid w:val="001D4A87"/>
    <w:rsid w:val="001D59B2"/>
    <w:rsid w:val="002300A9"/>
    <w:rsid w:val="00236B24"/>
    <w:rsid w:val="00241589"/>
    <w:rsid w:val="002421AC"/>
    <w:rsid w:val="00246339"/>
    <w:rsid w:val="002618A2"/>
    <w:rsid w:val="002A548C"/>
    <w:rsid w:val="002A65C7"/>
    <w:rsid w:val="002C38C2"/>
    <w:rsid w:val="002D7A9A"/>
    <w:rsid w:val="002E09B0"/>
    <w:rsid w:val="002E50CF"/>
    <w:rsid w:val="0030593E"/>
    <w:rsid w:val="00312753"/>
    <w:rsid w:val="0032644D"/>
    <w:rsid w:val="003358ED"/>
    <w:rsid w:val="003522D7"/>
    <w:rsid w:val="003A0E98"/>
    <w:rsid w:val="003C6238"/>
    <w:rsid w:val="003E023F"/>
    <w:rsid w:val="0041602F"/>
    <w:rsid w:val="004208C3"/>
    <w:rsid w:val="00433390"/>
    <w:rsid w:val="00444BC7"/>
    <w:rsid w:val="0045230B"/>
    <w:rsid w:val="0045318C"/>
    <w:rsid w:val="004A0422"/>
    <w:rsid w:val="004A29A2"/>
    <w:rsid w:val="004D5E25"/>
    <w:rsid w:val="004E2148"/>
    <w:rsid w:val="004E3466"/>
    <w:rsid w:val="00506B17"/>
    <w:rsid w:val="00520E31"/>
    <w:rsid w:val="005309B9"/>
    <w:rsid w:val="00541EDE"/>
    <w:rsid w:val="005440D1"/>
    <w:rsid w:val="00565076"/>
    <w:rsid w:val="005B7E58"/>
    <w:rsid w:val="006152F0"/>
    <w:rsid w:val="006527B3"/>
    <w:rsid w:val="006630A5"/>
    <w:rsid w:val="006B1C2C"/>
    <w:rsid w:val="006B6EFB"/>
    <w:rsid w:val="006B72B7"/>
    <w:rsid w:val="006E2BE1"/>
    <w:rsid w:val="006F16A3"/>
    <w:rsid w:val="00744431"/>
    <w:rsid w:val="007557C5"/>
    <w:rsid w:val="0079238A"/>
    <w:rsid w:val="007A0E65"/>
    <w:rsid w:val="007A23E2"/>
    <w:rsid w:val="007B5273"/>
    <w:rsid w:val="007C1B68"/>
    <w:rsid w:val="007E65FF"/>
    <w:rsid w:val="00821ECB"/>
    <w:rsid w:val="00832A09"/>
    <w:rsid w:val="00840B4A"/>
    <w:rsid w:val="0084152A"/>
    <w:rsid w:val="00843A8E"/>
    <w:rsid w:val="008F0E03"/>
    <w:rsid w:val="008F3D51"/>
    <w:rsid w:val="008F3E16"/>
    <w:rsid w:val="00916CEB"/>
    <w:rsid w:val="009274CA"/>
    <w:rsid w:val="00954CE3"/>
    <w:rsid w:val="00980EE9"/>
    <w:rsid w:val="00984E54"/>
    <w:rsid w:val="009B3BB7"/>
    <w:rsid w:val="009C3947"/>
    <w:rsid w:val="009C42A3"/>
    <w:rsid w:val="009E602F"/>
    <w:rsid w:val="00A23B9B"/>
    <w:rsid w:val="00A450CB"/>
    <w:rsid w:val="00A75CB2"/>
    <w:rsid w:val="00AA484B"/>
    <w:rsid w:val="00AE0E4F"/>
    <w:rsid w:val="00B023A7"/>
    <w:rsid w:val="00B23C53"/>
    <w:rsid w:val="00B9341D"/>
    <w:rsid w:val="00B962B4"/>
    <w:rsid w:val="00BA38B4"/>
    <w:rsid w:val="00BB35BC"/>
    <w:rsid w:val="00BB38BC"/>
    <w:rsid w:val="00C0458A"/>
    <w:rsid w:val="00C215AD"/>
    <w:rsid w:val="00C2164C"/>
    <w:rsid w:val="00C71205"/>
    <w:rsid w:val="00C82F7D"/>
    <w:rsid w:val="00C90497"/>
    <w:rsid w:val="00C955FD"/>
    <w:rsid w:val="00CE05C4"/>
    <w:rsid w:val="00CF2794"/>
    <w:rsid w:val="00D14C01"/>
    <w:rsid w:val="00D152F2"/>
    <w:rsid w:val="00D15813"/>
    <w:rsid w:val="00D2285E"/>
    <w:rsid w:val="00D36E65"/>
    <w:rsid w:val="00D52B47"/>
    <w:rsid w:val="00D60DF4"/>
    <w:rsid w:val="00D73855"/>
    <w:rsid w:val="00D8368A"/>
    <w:rsid w:val="00D84176"/>
    <w:rsid w:val="00D933A1"/>
    <w:rsid w:val="00D975CD"/>
    <w:rsid w:val="00DA5C48"/>
    <w:rsid w:val="00DB40D2"/>
    <w:rsid w:val="00DC26BE"/>
    <w:rsid w:val="00DC3F44"/>
    <w:rsid w:val="00E02536"/>
    <w:rsid w:val="00E11404"/>
    <w:rsid w:val="00E41A2E"/>
    <w:rsid w:val="00E55D40"/>
    <w:rsid w:val="00ED2701"/>
    <w:rsid w:val="00EE0F2F"/>
    <w:rsid w:val="00EF42C7"/>
    <w:rsid w:val="00F2275B"/>
    <w:rsid w:val="00F2582B"/>
    <w:rsid w:val="00F70EA5"/>
    <w:rsid w:val="00F71968"/>
    <w:rsid w:val="00FC7DAE"/>
    <w:rsid w:val="3E76F57A"/>
    <w:rsid w:val="581BF363"/>
    <w:rsid w:val="5DB4CEE8"/>
    <w:rsid w:val="68248B6A"/>
    <w:rsid w:val="6DD2A50B"/>
    <w:rsid w:val="74FFD3BA"/>
    <w:rsid w:val="7B6DD87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282342DF"/>
  <w15:docId w15:val="{13656FEF-9B61-CD41-9450-E15A117E2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AU"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55D40"/>
    <w:pPr>
      <w:spacing w:before="120" w:after="120"/>
    </w:pPr>
    <w:rPr>
      <w:rFonts w:ascii="Arial" w:hAnsi="Arial"/>
      <w:lang w:val="en-US"/>
    </w:rPr>
  </w:style>
  <w:style w:type="paragraph" w:styleId="Heading1">
    <w:name w:val="heading 1"/>
    <w:basedOn w:val="Normal"/>
    <w:next w:val="Normal"/>
    <w:link w:val="Heading1Char"/>
    <w:uiPriority w:val="9"/>
    <w:qFormat/>
    <w:rsid w:val="00D15813"/>
    <w:pPr>
      <w:keepNext/>
      <w:keepLines/>
      <w:spacing w:before="240" w:after="240"/>
      <w:outlineLvl w:val="0"/>
    </w:pPr>
    <w:rPr>
      <w:rFonts w:eastAsia="MS Gothic"/>
      <w:color w:val="AA9B70"/>
      <w:spacing w:val="20"/>
      <w:sz w:val="32"/>
      <w:szCs w:val="32"/>
    </w:rPr>
  </w:style>
  <w:style w:type="paragraph" w:styleId="Heading2">
    <w:name w:val="heading 2"/>
    <w:basedOn w:val="Normal"/>
    <w:next w:val="Normal"/>
    <w:link w:val="Heading2Char"/>
    <w:uiPriority w:val="9"/>
    <w:unhideWhenUsed/>
    <w:qFormat/>
    <w:rsid w:val="00506B17"/>
    <w:pPr>
      <w:keepNext/>
      <w:keepLines/>
      <w:spacing w:before="200"/>
      <w:outlineLvl w:val="1"/>
    </w:pPr>
    <w:rPr>
      <w:rFonts w:eastAsia="MS Gothic"/>
      <w:b/>
      <w:bCs/>
      <w:color w:val="21314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1ECB"/>
    <w:pPr>
      <w:tabs>
        <w:tab w:val="center" w:pos="4320"/>
        <w:tab w:val="right" w:pos="8640"/>
      </w:tabs>
    </w:pPr>
  </w:style>
  <w:style w:type="character" w:customStyle="1" w:styleId="HeaderChar">
    <w:name w:val="Header Char"/>
    <w:basedOn w:val="DefaultParagraphFont"/>
    <w:link w:val="Header"/>
    <w:uiPriority w:val="99"/>
    <w:rsid w:val="00821ECB"/>
  </w:style>
  <w:style w:type="paragraph" w:styleId="Footer">
    <w:name w:val="footer"/>
    <w:basedOn w:val="Normal"/>
    <w:link w:val="FooterChar"/>
    <w:uiPriority w:val="99"/>
    <w:unhideWhenUsed/>
    <w:rsid w:val="00821ECB"/>
    <w:pPr>
      <w:tabs>
        <w:tab w:val="center" w:pos="4320"/>
        <w:tab w:val="right" w:pos="8640"/>
      </w:tabs>
    </w:pPr>
  </w:style>
  <w:style w:type="character" w:customStyle="1" w:styleId="FooterChar">
    <w:name w:val="Footer Char"/>
    <w:basedOn w:val="DefaultParagraphFont"/>
    <w:link w:val="Footer"/>
    <w:uiPriority w:val="99"/>
    <w:rsid w:val="00821ECB"/>
  </w:style>
  <w:style w:type="paragraph" w:styleId="BalloonText">
    <w:name w:val="Balloon Text"/>
    <w:basedOn w:val="Normal"/>
    <w:link w:val="BalloonTextChar"/>
    <w:uiPriority w:val="99"/>
    <w:semiHidden/>
    <w:unhideWhenUsed/>
    <w:rsid w:val="00821ECB"/>
    <w:rPr>
      <w:rFonts w:ascii="Lucida Grande" w:hAnsi="Lucida Grande" w:cs="Lucida Grande"/>
      <w:sz w:val="18"/>
      <w:szCs w:val="18"/>
    </w:rPr>
  </w:style>
  <w:style w:type="character" w:customStyle="1" w:styleId="BalloonTextChar">
    <w:name w:val="Balloon Text Char"/>
    <w:link w:val="BalloonText"/>
    <w:uiPriority w:val="99"/>
    <w:semiHidden/>
    <w:rsid w:val="00821ECB"/>
    <w:rPr>
      <w:rFonts w:ascii="Lucida Grande" w:hAnsi="Lucida Grande" w:cs="Lucida Grande"/>
      <w:sz w:val="18"/>
      <w:szCs w:val="18"/>
    </w:rPr>
  </w:style>
  <w:style w:type="paragraph" w:styleId="Title">
    <w:name w:val="Title"/>
    <w:aliases w:val="TITLE"/>
    <w:basedOn w:val="Normal"/>
    <w:next w:val="Normal"/>
    <w:link w:val="TitleChar"/>
    <w:uiPriority w:val="10"/>
    <w:qFormat/>
    <w:rsid w:val="0016155F"/>
    <w:pPr>
      <w:spacing w:line="800" w:lineRule="exact"/>
      <w:contextualSpacing/>
    </w:pPr>
    <w:rPr>
      <w:rFonts w:eastAsia="MS Gothic"/>
      <w:caps/>
      <w:color w:val="FFFFFF"/>
      <w:spacing w:val="5"/>
      <w:kern w:val="28"/>
      <w:sz w:val="80"/>
      <w:szCs w:val="80"/>
    </w:rPr>
  </w:style>
  <w:style w:type="character" w:customStyle="1" w:styleId="TitleChar">
    <w:name w:val="Title Char"/>
    <w:aliases w:val="TITLE Char"/>
    <w:link w:val="Title"/>
    <w:uiPriority w:val="10"/>
    <w:rsid w:val="0016155F"/>
    <w:rPr>
      <w:rFonts w:ascii="Arial" w:eastAsia="MS Gothic" w:hAnsi="Arial" w:cs="Times New Roman"/>
      <w:caps/>
      <w:color w:val="FFFFFF"/>
      <w:spacing w:val="5"/>
      <w:kern w:val="28"/>
      <w:sz w:val="80"/>
      <w:szCs w:val="80"/>
    </w:rPr>
  </w:style>
  <w:style w:type="paragraph" w:styleId="Subtitle">
    <w:name w:val="Subtitle"/>
    <w:basedOn w:val="Normal"/>
    <w:next w:val="Normal"/>
    <w:link w:val="SubtitleChar"/>
    <w:uiPriority w:val="11"/>
    <w:qFormat/>
    <w:rsid w:val="00D15813"/>
    <w:pPr>
      <w:numPr>
        <w:ilvl w:val="1"/>
      </w:numPr>
    </w:pPr>
    <w:rPr>
      <w:rFonts w:eastAsia="MS Gothic"/>
      <w:bCs/>
      <w:caps/>
      <w:color w:val="FDC82F"/>
      <w:spacing w:val="15"/>
      <w:sz w:val="28"/>
      <w:szCs w:val="36"/>
    </w:rPr>
  </w:style>
  <w:style w:type="character" w:customStyle="1" w:styleId="SubtitleChar">
    <w:name w:val="Subtitle Char"/>
    <w:link w:val="Subtitle"/>
    <w:uiPriority w:val="11"/>
    <w:rsid w:val="00D15813"/>
    <w:rPr>
      <w:rFonts w:ascii="Arial" w:eastAsia="MS Gothic" w:hAnsi="Arial" w:cs="Times New Roman"/>
      <w:bCs/>
      <w:caps/>
      <w:color w:val="FDC82F"/>
      <w:spacing w:val="15"/>
      <w:sz w:val="28"/>
      <w:szCs w:val="36"/>
    </w:rPr>
  </w:style>
  <w:style w:type="character" w:styleId="SubtleEmphasis">
    <w:name w:val="Subtle Emphasis"/>
    <w:aliases w:val="RUNNING HEADER"/>
    <w:uiPriority w:val="19"/>
    <w:qFormat/>
    <w:rsid w:val="002D7A9A"/>
    <w:rPr>
      <w:rFonts w:ascii="Arial" w:hAnsi="Arial"/>
      <w:caps/>
      <w:sz w:val="18"/>
      <w:szCs w:val="18"/>
    </w:rPr>
  </w:style>
  <w:style w:type="character" w:customStyle="1" w:styleId="Heading1Char">
    <w:name w:val="Heading 1 Char"/>
    <w:link w:val="Heading1"/>
    <w:uiPriority w:val="9"/>
    <w:rsid w:val="00D15813"/>
    <w:rPr>
      <w:rFonts w:ascii="Arial" w:eastAsia="MS Gothic" w:hAnsi="Arial" w:cs="Times New Roman"/>
      <w:color w:val="AA9B70"/>
      <w:spacing w:val="20"/>
      <w:sz w:val="32"/>
      <w:szCs w:val="32"/>
    </w:rPr>
  </w:style>
  <w:style w:type="character" w:customStyle="1" w:styleId="Heading2Char">
    <w:name w:val="Heading 2 Char"/>
    <w:link w:val="Heading2"/>
    <w:uiPriority w:val="9"/>
    <w:rsid w:val="00506B17"/>
    <w:rPr>
      <w:rFonts w:ascii="Arial" w:eastAsia="MS Gothic" w:hAnsi="Arial" w:cs="Times New Roman"/>
      <w:b/>
      <w:bCs/>
      <w:color w:val="21314D"/>
    </w:rPr>
  </w:style>
  <w:style w:type="character" w:styleId="Emphasis">
    <w:name w:val="Emphasis"/>
    <w:uiPriority w:val="20"/>
    <w:rsid w:val="00E55D40"/>
    <w:rPr>
      <w:i/>
      <w:iCs/>
    </w:rPr>
  </w:style>
  <w:style w:type="paragraph" w:styleId="ListParagraph">
    <w:name w:val="List Paragraph"/>
    <w:basedOn w:val="Normal"/>
    <w:uiPriority w:val="34"/>
    <w:qFormat/>
    <w:rsid w:val="00E55D40"/>
    <w:pPr>
      <w:numPr>
        <w:numId w:val="1"/>
      </w:numPr>
      <w:contextualSpacing/>
    </w:pPr>
  </w:style>
  <w:style w:type="character" w:styleId="Strong">
    <w:name w:val="Strong"/>
    <w:uiPriority w:val="22"/>
    <w:qFormat/>
    <w:rsid w:val="00E55D40"/>
    <w:rPr>
      <w:b/>
      <w:bCs/>
    </w:rPr>
  </w:style>
  <w:style w:type="paragraph" w:customStyle="1" w:styleId="Chapterheading">
    <w:name w:val="Chapter heading"/>
    <w:basedOn w:val="Heading1"/>
    <w:qFormat/>
    <w:rsid w:val="00506B17"/>
    <w:rPr>
      <w:color w:val="21314D"/>
      <w:sz w:val="48"/>
      <w:szCs w:val="48"/>
    </w:rPr>
  </w:style>
  <w:style w:type="paragraph" w:customStyle="1" w:styleId="Subheading">
    <w:name w:val="Sub heading"/>
    <w:basedOn w:val="Normal"/>
    <w:rsid w:val="009274CA"/>
    <w:pPr>
      <w:spacing w:before="0" w:after="240" w:line="800" w:lineRule="exact"/>
      <w:ind w:left="-68"/>
    </w:pPr>
    <w:rPr>
      <w:rFonts w:eastAsia="Times New Roman"/>
      <w:b/>
      <w:sz w:val="38"/>
      <w:szCs w:val="24"/>
      <w:lang w:val="en-AU"/>
    </w:rPr>
  </w:style>
  <w:style w:type="paragraph" w:customStyle="1" w:styleId="Coversubhead">
    <w:name w:val="Cover subhead"/>
    <w:basedOn w:val="Subtitle"/>
    <w:link w:val="CoversubheadChar"/>
    <w:qFormat/>
    <w:rsid w:val="00C90497"/>
    <w:pPr>
      <w:keepNext/>
      <w:keepLines/>
      <w:numPr>
        <w:ilvl w:val="0"/>
      </w:numPr>
      <w:spacing w:before="240" w:after="240"/>
      <w:outlineLvl w:val="0"/>
    </w:pPr>
    <w:rPr>
      <w:bCs w:val="0"/>
      <w:caps w:val="0"/>
      <w:spacing w:val="20"/>
      <w:sz w:val="32"/>
      <w:szCs w:val="32"/>
    </w:rPr>
  </w:style>
  <w:style w:type="character" w:customStyle="1" w:styleId="CoversubheadChar">
    <w:name w:val="Cover subhead Char"/>
    <w:link w:val="Coversubhead"/>
    <w:rsid w:val="00C90497"/>
    <w:rPr>
      <w:rFonts w:ascii="Arial" w:eastAsia="MS Gothic" w:hAnsi="Arial" w:cs="Times New Roman"/>
      <w:bCs w:val="0"/>
      <w:caps w:val="0"/>
      <w:color w:val="FDC82F"/>
      <w:spacing w:val="20"/>
      <w:sz w:val="32"/>
      <w:szCs w:val="32"/>
    </w:rPr>
  </w:style>
  <w:style w:type="paragraph" w:customStyle="1" w:styleId="LetterBodyText">
    <w:name w:val="LetterBodyText"/>
    <w:basedOn w:val="Normal"/>
    <w:rsid w:val="003E023F"/>
    <w:pPr>
      <w:spacing w:before="240" w:after="0"/>
    </w:pPr>
    <w:rPr>
      <w:rFonts w:ascii="Tahoma" w:eastAsia="Times New Roman" w:hAnsi="Tahoma"/>
      <w:szCs w:val="24"/>
      <w:lang w:val="en-AU"/>
    </w:rPr>
  </w:style>
  <w:style w:type="character" w:styleId="Hyperlink">
    <w:name w:val="Hyperlink"/>
    <w:basedOn w:val="DefaultParagraphFont"/>
    <w:unhideWhenUsed/>
    <w:rsid w:val="003E023F"/>
    <w:rPr>
      <w:color w:val="0563C1" w:themeColor="hyperlink"/>
      <w:u w:val="single"/>
    </w:rPr>
  </w:style>
  <w:style w:type="character" w:styleId="CommentReference">
    <w:name w:val="annotation reference"/>
    <w:basedOn w:val="DefaultParagraphFont"/>
    <w:uiPriority w:val="99"/>
    <w:semiHidden/>
    <w:unhideWhenUsed/>
    <w:rsid w:val="001D2492"/>
    <w:rPr>
      <w:sz w:val="16"/>
      <w:szCs w:val="16"/>
    </w:rPr>
  </w:style>
  <w:style w:type="paragraph" w:styleId="CommentText">
    <w:name w:val="annotation text"/>
    <w:basedOn w:val="Normal"/>
    <w:link w:val="CommentTextChar"/>
    <w:uiPriority w:val="99"/>
    <w:semiHidden/>
    <w:unhideWhenUsed/>
    <w:rsid w:val="001D2492"/>
  </w:style>
  <w:style w:type="character" w:customStyle="1" w:styleId="CommentTextChar">
    <w:name w:val="Comment Text Char"/>
    <w:basedOn w:val="DefaultParagraphFont"/>
    <w:link w:val="CommentText"/>
    <w:uiPriority w:val="99"/>
    <w:semiHidden/>
    <w:rsid w:val="001D2492"/>
    <w:rPr>
      <w:rFonts w:ascii="Arial" w:hAnsi="Arial"/>
      <w:lang w:val="en-US"/>
    </w:rPr>
  </w:style>
  <w:style w:type="paragraph" w:styleId="CommentSubject">
    <w:name w:val="annotation subject"/>
    <w:basedOn w:val="CommentText"/>
    <w:next w:val="CommentText"/>
    <w:link w:val="CommentSubjectChar"/>
    <w:uiPriority w:val="99"/>
    <w:semiHidden/>
    <w:unhideWhenUsed/>
    <w:rsid w:val="001D2492"/>
    <w:rPr>
      <w:b/>
      <w:bCs/>
    </w:rPr>
  </w:style>
  <w:style w:type="character" w:customStyle="1" w:styleId="CommentSubjectChar">
    <w:name w:val="Comment Subject Char"/>
    <w:basedOn w:val="CommentTextChar"/>
    <w:link w:val="CommentSubject"/>
    <w:uiPriority w:val="99"/>
    <w:semiHidden/>
    <w:rsid w:val="001D2492"/>
    <w:rPr>
      <w:rFonts w:ascii="Arial" w:hAnsi="Arial"/>
      <w:b/>
      <w:bCs/>
      <w:lang w:val="en-US"/>
    </w:rPr>
  </w:style>
  <w:style w:type="character" w:styleId="UnresolvedMention">
    <w:name w:val="Unresolved Mention"/>
    <w:basedOn w:val="DefaultParagraphFont"/>
    <w:uiPriority w:val="99"/>
    <w:semiHidden/>
    <w:unhideWhenUsed/>
    <w:rsid w:val="00840B4A"/>
    <w:rPr>
      <w:color w:val="605E5C"/>
      <w:shd w:val="clear" w:color="auto" w:fill="E1DFDD"/>
    </w:rPr>
  </w:style>
  <w:style w:type="character" w:styleId="FollowedHyperlink">
    <w:name w:val="FollowedHyperlink"/>
    <w:basedOn w:val="DefaultParagraphFont"/>
    <w:uiPriority w:val="99"/>
    <w:semiHidden/>
    <w:unhideWhenUsed/>
    <w:rsid w:val="00840B4A"/>
    <w:rPr>
      <w:color w:val="954F72" w:themeColor="followedHyperlink"/>
      <w:u w:val="single"/>
    </w:rPr>
  </w:style>
  <w:style w:type="table" w:styleId="TableGrid">
    <w:name w:val="Table Grid"/>
    <w:basedOn w:val="TableNormal"/>
    <w:uiPriority w:val="59"/>
    <w:rsid w:val="0045230B"/>
    <w:rPr>
      <w:rFonts w:asciiTheme="minorHAnsi" w:eastAsia="Times New Roman"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382485">
      <w:bodyDiv w:val="1"/>
      <w:marLeft w:val="0"/>
      <w:marRight w:val="0"/>
      <w:marTop w:val="0"/>
      <w:marBottom w:val="0"/>
      <w:divBdr>
        <w:top w:val="none" w:sz="0" w:space="0" w:color="auto"/>
        <w:left w:val="none" w:sz="0" w:space="0" w:color="auto"/>
        <w:bottom w:val="none" w:sz="0" w:space="0" w:color="auto"/>
        <w:right w:val="none" w:sz="0" w:space="0" w:color="auto"/>
      </w:divBdr>
    </w:div>
    <w:div w:id="754519472">
      <w:bodyDiv w:val="1"/>
      <w:marLeft w:val="0"/>
      <w:marRight w:val="0"/>
      <w:marTop w:val="0"/>
      <w:marBottom w:val="0"/>
      <w:divBdr>
        <w:top w:val="none" w:sz="0" w:space="0" w:color="auto"/>
        <w:left w:val="none" w:sz="0" w:space="0" w:color="auto"/>
        <w:bottom w:val="none" w:sz="0" w:space="0" w:color="auto"/>
        <w:right w:val="none" w:sz="0" w:space="0" w:color="auto"/>
      </w:divBdr>
    </w:div>
    <w:div w:id="21238401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D6CEC02DC3FC4AA94FB121C034DCA2" ma:contentTypeVersion="2" ma:contentTypeDescription="Create a new document." ma:contentTypeScope="" ma:versionID="4fc9b4bdee35acb66225fdcedb4ac997">
  <xsd:schema xmlns:xsd="http://www.w3.org/2001/XMLSchema" xmlns:xs="http://www.w3.org/2001/XMLSchema" xmlns:p="http://schemas.microsoft.com/office/2006/metadata/properties" xmlns:ns2="f0c185ef-6882-4785-a3db-5bd44d17f771" targetNamespace="http://schemas.microsoft.com/office/2006/metadata/properties" ma:root="true" ma:fieldsID="837772ba61240025bc74f12bd3616135" ns2:_="">
    <xsd:import namespace="f0c185ef-6882-4785-a3db-5bd44d17f77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c185ef-6882-4785-a3db-5bd44d17f7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72474-7705-4C4A-9097-ADBC02008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c185ef-6882-4785-a3db-5bd44d17f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3CAFA3-DCD9-44B8-9CDC-807439719038}">
  <ds:schemaRefs>
    <ds:schemaRef ds:uri="http://schemas.microsoft.com/sharepoint/v3/contenttype/forms"/>
  </ds:schemaRefs>
</ds:datastoreItem>
</file>

<file path=customXml/itemProps3.xml><?xml version="1.0" encoding="utf-8"?>
<ds:datastoreItem xmlns:ds="http://schemas.openxmlformats.org/officeDocument/2006/customXml" ds:itemID="{19E38822-2FCA-428A-BBFF-E022AC509414}">
  <ds:schemaRefs>
    <ds:schemaRef ds:uri="http://purl.org/dc/elements/1.1/"/>
    <ds:schemaRef ds:uri="http://schemas.microsoft.com/office/2006/documentManagement/types"/>
    <ds:schemaRef ds:uri="http://schemas.microsoft.com/office/infopath/2007/PartnerControls"/>
    <ds:schemaRef ds:uri="http://purl.org/dc/terms/"/>
    <ds:schemaRef ds:uri="http://schemas.microsoft.com/office/2006/metadata/properties"/>
    <ds:schemaRef ds:uri="http://schemas.openxmlformats.org/package/2006/metadata/core-properties"/>
    <ds:schemaRef ds:uri="f0c185ef-6882-4785-a3db-5bd44d17f771"/>
    <ds:schemaRef ds:uri="http://www.w3.org/XML/1998/namespace"/>
    <ds:schemaRef ds:uri="http://purl.org/dc/dcmitype/"/>
  </ds:schemaRefs>
</ds:datastoreItem>
</file>

<file path=customXml/itemProps4.xml><?xml version="1.0" encoding="utf-8"?>
<ds:datastoreItem xmlns:ds="http://schemas.openxmlformats.org/officeDocument/2006/customXml" ds:itemID="{7DDAF99D-309E-446D-9CB5-F06A28696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2142</Words>
  <Characters>12215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Short Cover Word Template - Portrait</vt:lpstr>
    </vt:vector>
  </TitlesOfParts>
  <Company>CPA Australia</Company>
  <LinksUpToDate>false</LinksUpToDate>
  <CharactersWithSpaces>14329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Short Cover Word Template - Portrait</dc:title>
  <dc:subject/>
  <dc:creator>Kent Parker</dc:creator>
  <cp:keywords/>
  <cp:lastModifiedBy>Kathryn Leckie</cp:lastModifiedBy>
  <cp:revision>6</cp:revision>
  <cp:lastPrinted>2020-04-20T01:31:00Z</cp:lastPrinted>
  <dcterms:created xsi:type="dcterms:W3CDTF">2020-04-28T05:43:00Z</dcterms:created>
  <dcterms:modified xsi:type="dcterms:W3CDTF">2020-04-28T05:54:00Z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0x01010001D6CEC02DC3FC4AA94FB121C034DCA2</vt:lpwstr>
  </property>
  <property fmtid="{D5CDD505-2E9C-101B-9397-08002B2CF9AE}" pid="3" name="E2_Site">
    <vt:lpwstr>1;#All Locations|88f49712-e5ea-49a8-8e8f-51d5e5760d19</vt:lpwstr>
  </property>
  <property fmtid="{D5CDD505-2E9C-101B-9397-08002B2CF9AE}" pid="4" name="E2_BusinessUnit">
    <vt:lpwstr>13;#Marketing|4bdacb6f-4897-4b25-be4e-f0779b8136ea</vt:lpwstr>
  </property>
</Properties>
</file>